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rFonts w:hint="eastAsia" w:ascii="方正小标宋_GBK" w:hAnsi="方正小标宋_GBK" w:eastAsia="方正小标宋_GBK"/>
          <w:b w:val="0"/>
          <w:bCs w:val="0"/>
          <w:sz w:val="30"/>
        </w:rPr>
      </w:pPr>
      <w:bookmarkStart w:id="1" w:name="_GoBack"/>
      <w:bookmarkStart w:id="0" w:name="_Toc24724726"/>
      <w:r>
        <w:rPr>
          <w:rFonts w:hint="eastAsia" w:ascii="方正小标宋_GBK" w:hAnsi="方正小标宋_GBK" w:eastAsia="方正小标宋_GBK"/>
          <w:b w:val="0"/>
          <w:bCs w:val="0"/>
          <w:sz w:val="30"/>
        </w:rPr>
        <w:t>（二十三）救灾生产领域基层政务公开标准目录</w:t>
      </w:r>
      <w:bookmarkEnd w:id="0"/>
    </w:p>
    <w:bookmarkEnd w:id="1"/>
    <w:tbl>
      <w:tblPr>
        <w:tblStyle w:val="4"/>
        <w:tblW w:w="15660" w:type="dxa"/>
        <w:tblInd w:w="-844" w:type="dxa"/>
        <w:tblLayout w:type="fixed"/>
        <w:tblCellMar>
          <w:top w:w="0" w:type="dxa"/>
          <w:left w:w="108" w:type="dxa"/>
          <w:bottom w:w="0" w:type="dxa"/>
          <w:right w:w="108" w:type="dxa"/>
        </w:tblCellMar>
      </w:tblPr>
      <w:tblGrid>
        <w:gridCol w:w="540"/>
        <w:gridCol w:w="900"/>
        <w:gridCol w:w="1080"/>
        <w:gridCol w:w="2700"/>
        <w:gridCol w:w="1968"/>
        <w:gridCol w:w="2160"/>
        <w:gridCol w:w="1092"/>
        <w:gridCol w:w="1496"/>
        <w:gridCol w:w="540"/>
        <w:gridCol w:w="720"/>
        <w:gridCol w:w="540"/>
        <w:gridCol w:w="720"/>
        <w:gridCol w:w="540"/>
        <w:gridCol w:w="664"/>
      </w:tblGrid>
      <w:tr>
        <w:tblPrEx>
          <w:tblLayout w:type="fixed"/>
          <w:tblCellMar>
            <w:top w:w="0" w:type="dxa"/>
            <w:left w:w="108" w:type="dxa"/>
            <w:bottom w:w="0" w:type="dxa"/>
            <w:right w:w="108" w:type="dxa"/>
          </w:tblCellMar>
        </w:tblPrEx>
        <w:trPr>
          <w:trHeight w:val="420" w:hRule="atLeast"/>
        </w:trPr>
        <w:tc>
          <w:tcPr>
            <w:tcW w:w="54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Times New Roman" w:eastAsia="仿宋_GB2312"/>
                <w:color w:val="000000"/>
                <w:kern w:val="0"/>
                <w:sz w:val="18"/>
                <w:szCs w:val="18"/>
              </w:rPr>
            </w:pPr>
            <w:r>
              <w:rPr>
                <w:rFonts w:hint="eastAsia" w:ascii="黑体" w:hAnsi="宋体" w:eastAsia="黑体" w:cs="宋体"/>
                <w:color w:val="000000"/>
                <w:kern w:val="0"/>
                <w:sz w:val="22"/>
              </w:rPr>
              <w:t>序号</w:t>
            </w:r>
          </w:p>
        </w:tc>
        <w:tc>
          <w:tcPr>
            <w:tcW w:w="1980"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公开事项</w:t>
            </w:r>
          </w:p>
        </w:tc>
        <w:tc>
          <w:tcPr>
            <w:tcW w:w="270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公开内容（要素）</w:t>
            </w:r>
          </w:p>
        </w:tc>
        <w:tc>
          <w:tcPr>
            <w:tcW w:w="196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公开依据</w:t>
            </w:r>
          </w:p>
        </w:tc>
        <w:tc>
          <w:tcPr>
            <w:tcW w:w="216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公开时限</w:t>
            </w:r>
          </w:p>
        </w:tc>
        <w:tc>
          <w:tcPr>
            <w:tcW w:w="109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公开主体</w:t>
            </w:r>
          </w:p>
        </w:tc>
        <w:tc>
          <w:tcPr>
            <w:tcW w:w="149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黑体" w:hAnsi="宋体" w:eastAsia="黑体" w:cs="宋体"/>
                <w:kern w:val="0"/>
                <w:sz w:val="22"/>
              </w:rPr>
            </w:pPr>
            <w:r>
              <w:rPr>
                <w:rFonts w:hint="eastAsia" w:ascii="黑体" w:hAnsi="宋体" w:eastAsia="黑体" w:cs="宋体"/>
                <w:kern w:val="0"/>
                <w:sz w:val="22"/>
              </w:rPr>
              <w:t>公开渠道和载体</w:t>
            </w:r>
          </w:p>
        </w:tc>
        <w:tc>
          <w:tcPr>
            <w:tcW w:w="1260"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公开对象</w:t>
            </w:r>
          </w:p>
        </w:tc>
        <w:tc>
          <w:tcPr>
            <w:tcW w:w="1260"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公开方式</w:t>
            </w:r>
          </w:p>
        </w:tc>
        <w:tc>
          <w:tcPr>
            <w:tcW w:w="1204"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公开层级</w:t>
            </w:r>
          </w:p>
        </w:tc>
      </w:tr>
      <w:tr>
        <w:tblPrEx>
          <w:tblLayout w:type="fixed"/>
          <w:tblCellMar>
            <w:top w:w="0" w:type="dxa"/>
            <w:left w:w="108" w:type="dxa"/>
            <w:bottom w:w="0" w:type="dxa"/>
            <w:right w:w="108" w:type="dxa"/>
          </w:tblCellMar>
        </w:tblPrEx>
        <w:trPr>
          <w:trHeight w:val="1123" w:hRule="atLeast"/>
        </w:trPr>
        <w:tc>
          <w:tcPr>
            <w:tcW w:w="54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Times New Roman" w:eastAsia="仿宋_GB2312"/>
                <w:color w:val="000000"/>
                <w:kern w:val="0"/>
                <w:sz w:val="18"/>
                <w:szCs w:val="18"/>
              </w:rPr>
            </w:pPr>
          </w:p>
        </w:tc>
        <w:tc>
          <w:tcPr>
            <w:tcW w:w="900" w:type="dxa"/>
            <w:tcBorders>
              <w:top w:val="nil"/>
              <w:left w:val="nil"/>
              <w:bottom w:val="single" w:color="auto" w:sz="4" w:space="0"/>
              <w:right w:val="single" w:color="auto" w:sz="4" w:space="0"/>
            </w:tcBorders>
            <w:shd w:val="clear" w:color="auto" w:fill="auto"/>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一级事项</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二级事项</w:t>
            </w:r>
          </w:p>
        </w:tc>
        <w:tc>
          <w:tcPr>
            <w:tcW w:w="270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黑体" w:hAnsi="宋体" w:eastAsia="黑体" w:cs="宋体"/>
                <w:color w:val="000000"/>
                <w:kern w:val="0"/>
                <w:sz w:val="22"/>
              </w:rPr>
            </w:pPr>
          </w:p>
        </w:tc>
        <w:tc>
          <w:tcPr>
            <w:tcW w:w="1968"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黑体" w:hAnsi="宋体" w:eastAsia="黑体" w:cs="宋体"/>
                <w:color w:val="000000"/>
                <w:kern w:val="0"/>
                <w:sz w:val="22"/>
              </w:rPr>
            </w:pPr>
          </w:p>
        </w:tc>
        <w:tc>
          <w:tcPr>
            <w:tcW w:w="216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黑体" w:hAnsi="宋体" w:eastAsia="黑体" w:cs="宋体"/>
                <w:color w:val="000000"/>
                <w:kern w:val="0"/>
                <w:sz w:val="22"/>
              </w:rPr>
            </w:pPr>
          </w:p>
        </w:tc>
        <w:tc>
          <w:tcPr>
            <w:tcW w:w="1092"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黑体" w:hAnsi="宋体" w:eastAsia="黑体" w:cs="宋体"/>
                <w:color w:val="000000"/>
                <w:kern w:val="0"/>
                <w:sz w:val="22"/>
              </w:rPr>
            </w:pPr>
          </w:p>
        </w:tc>
        <w:tc>
          <w:tcPr>
            <w:tcW w:w="149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黑体" w:hAnsi="宋体" w:eastAsia="黑体" w:cs="宋体"/>
                <w:kern w:val="0"/>
                <w:sz w:val="22"/>
              </w:rPr>
            </w:pP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全社会</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特定群众</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主动</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依申请公开</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县级</w:t>
            </w:r>
          </w:p>
        </w:tc>
        <w:tc>
          <w:tcPr>
            <w:tcW w:w="664" w:type="dxa"/>
            <w:tcBorders>
              <w:top w:val="nil"/>
              <w:left w:val="nil"/>
              <w:bottom w:val="single" w:color="auto" w:sz="4" w:space="0"/>
              <w:right w:val="single" w:color="auto" w:sz="4" w:space="0"/>
            </w:tcBorders>
            <w:shd w:val="clear" w:color="auto" w:fill="auto"/>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乡、村级</w:t>
            </w:r>
          </w:p>
        </w:tc>
      </w:tr>
      <w:tr>
        <w:tblPrEx>
          <w:tblLayout w:type="fixed"/>
          <w:tblCellMar>
            <w:top w:w="0" w:type="dxa"/>
            <w:left w:w="108" w:type="dxa"/>
            <w:bottom w:w="0" w:type="dxa"/>
            <w:right w:w="108" w:type="dxa"/>
          </w:tblCellMar>
        </w:tblPrEx>
        <w:trPr>
          <w:trHeight w:val="908" w:hRule="atLeast"/>
        </w:trPr>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hAnsi="宋体" w:eastAsia="仿宋_GB2312" w:cs="宋体"/>
                <w:color w:val="000000"/>
                <w:sz w:val="18"/>
                <w:szCs w:val="18"/>
              </w:rPr>
            </w:pPr>
            <w:r>
              <w:rPr>
                <w:rFonts w:hint="eastAsia" w:ascii="仿宋_GB2312" w:eastAsia="仿宋_GB2312"/>
                <w:color w:val="000000"/>
                <w:sz w:val="18"/>
                <w:szCs w:val="18"/>
              </w:rPr>
              <w:t>1</w:t>
            </w:r>
          </w:p>
        </w:tc>
        <w:tc>
          <w:tcPr>
            <w:tcW w:w="900" w:type="dxa"/>
            <w:vMerge w:val="restart"/>
            <w:tcBorders>
              <w:left w:val="nil"/>
              <w:right w:val="single" w:color="auto" w:sz="4" w:space="0"/>
            </w:tcBorders>
            <w:shd w:val="clear" w:color="auto" w:fill="auto"/>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政策</w:t>
            </w:r>
          </w:p>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文件</w:t>
            </w:r>
          </w:p>
        </w:tc>
        <w:tc>
          <w:tcPr>
            <w:tcW w:w="1080" w:type="dxa"/>
            <w:tcBorders>
              <w:top w:val="single" w:color="auto" w:sz="4" w:space="0"/>
              <w:left w:val="nil"/>
              <w:bottom w:val="single" w:color="auto" w:sz="4" w:space="0"/>
              <w:right w:val="single" w:color="auto" w:sz="4" w:space="0"/>
            </w:tcBorders>
            <w:shd w:val="clear" w:color="auto" w:fill="auto"/>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法律法规</w:t>
            </w:r>
          </w:p>
        </w:tc>
        <w:tc>
          <w:tcPr>
            <w:tcW w:w="270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与救灾有关的法律、法规</w:t>
            </w:r>
          </w:p>
        </w:tc>
        <w:tc>
          <w:tcPr>
            <w:tcW w:w="1968"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《政府信息公开条例》</w:t>
            </w:r>
          </w:p>
        </w:tc>
        <w:tc>
          <w:tcPr>
            <w:tcW w:w="216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信息形成或变更之日起20个工作日内</w:t>
            </w:r>
          </w:p>
        </w:tc>
        <w:tc>
          <w:tcPr>
            <w:tcW w:w="109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r>
              <w:rPr>
                <w:rFonts w:hint="eastAsia" w:ascii="仿宋_GB2312" w:eastAsia="仿宋_GB2312"/>
                <w:sz w:val="18"/>
                <w:szCs w:val="18"/>
              </w:rPr>
              <w:t>应急管理部门</w:t>
            </w:r>
          </w:p>
        </w:tc>
        <w:tc>
          <w:tcPr>
            <w:tcW w:w="149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exact"/>
              <w:jc w:val="left"/>
              <w:rPr>
                <w:rFonts w:ascii="仿宋_GB2312" w:eastAsia="仿宋_GB2312"/>
                <w:sz w:val="18"/>
                <w:szCs w:val="18"/>
              </w:rPr>
            </w:pPr>
            <w:r>
              <w:rPr>
                <w:rFonts w:hint="eastAsia" w:ascii="仿宋_GB2312" w:eastAsia="仿宋_GB2312"/>
                <w:sz w:val="18"/>
                <w:szCs w:val="18"/>
              </w:rPr>
              <w:t>■政府网站   ■两微一端   ■公开查阅点 ■政务服务中心</w:t>
            </w:r>
          </w:p>
        </w:tc>
        <w:tc>
          <w:tcPr>
            <w:tcW w:w="540" w:type="dxa"/>
            <w:tcBorders>
              <w:top w:val="single" w:color="auto" w:sz="4" w:space="0"/>
              <w:left w:val="nil"/>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720" w:type="dxa"/>
            <w:tcBorders>
              <w:top w:val="single" w:color="auto" w:sz="4" w:space="0"/>
              <w:left w:val="nil"/>
              <w:bottom w:val="single" w:color="auto" w:sz="4" w:space="0"/>
              <w:right w:val="single" w:color="auto" w:sz="4" w:space="0"/>
            </w:tcBorders>
            <w:shd w:val="clear" w:color="auto" w:fill="auto"/>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　</w:t>
            </w:r>
          </w:p>
        </w:tc>
        <w:tc>
          <w:tcPr>
            <w:tcW w:w="540" w:type="dxa"/>
            <w:tcBorders>
              <w:top w:val="single" w:color="auto" w:sz="4" w:space="0"/>
              <w:left w:val="nil"/>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720" w:type="dxa"/>
            <w:tcBorders>
              <w:top w:val="single" w:color="auto" w:sz="4" w:space="0"/>
              <w:left w:val="nil"/>
              <w:bottom w:val="single" w:color="auto" w:sz="4" w:space="0"/>
              <w:right w:val="single" w:color="auto" w:sz="4" w:space="0"/>
            </w:tcBorders>
            <w:shd w:val="clear" w:color="auto" w:fill="auto"/>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　</w:t>
            </w:r>
          </w:p>
        </w:tc>
        <w:tc>
          <w:tcPr>
            <w:tcW w:w="540" w:type="dxa"/>
            <w:tcBorders>
              <w:top w:val="single" w:color="auto" w:sz="4" w:space="0"/>
              <w:left w:val="nil"/>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664" w:type="dxa"/>
            <w:tcBorders>
              <w:top w:val="single" w:color="auto" w:sz="4" w:space="0"/>
              <w:left w:val="nil"/>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p>
        </w:tc>
      </w:tr>
      <w:tr>
        <w:tblPrEx>
          <w:tblLayout w:type="fixed"/>
          <w:tblCellMar>
            <w:top w:w="0" w:type="dxa"/>
            <w:left w:w="108" w:type="dxa"/>
            <w:bottom w:w="0" w:type="dxa"/>
            <w:right w:w="108" w:type="dxa"/>
          </w:tblCellMar>
        </w:tblPrEx>
        <w:trPr>
          <w:trHeight w:val="952" w:hRule="atLeast"/>
        </w:trPr>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hAnsi="宋体" w:eastAsia="仿宋_GB2312" w:cs="宋体"/>
                <w:color w:val="000000"/>
                <w:sz w:val="18"/>
                <w:szCs w:val="18"/>
              </w:rPr>
            </w:pPr>
            <w:r>
              <w:rPr>
                <w:rFonts w:hint="eastAsia" w:ascii="仿宋_GB2312" w:eastAsia="仿宋_GB2312"/>
                <w:color w:val="000000"/>
                <w:sz w:val="18"/>
                <w:szCs w:val="18"/>
              </w:rPr>
              <w:t>2</w:t>
            </w:r>
          </w:p>
        </w:tc>
        <w:tc>
          <w:tcPr>
            <w:tcW w:w="900" w:type="dxa"/>
            <w:vMerge w:val="continue"/>
            <w:tcBorders>
              <w:left w:val="nil"/>
              <w:right w:val="single" w:color="auto" w:sz="4" w:space="0"/>
            </w:tcBorders>
            <w:shd w:val="clear" w:color="auto" w:fill="auto"/>
            <w:vAlign w:val="center"/>
          </w:tcPr>
          <w:p>
            <w:pPr>
              <w:jc w:val="center"/>
              <w:rPr>
                <w:rFonts w:hint="eastAsia" w:ascii="仿宋_GB2312" w:hAnsi="宋体" w:eastAsia="仿宋_GB2312" w:cs="宋体"/>
                <w:color w:val="000000"/>
                <w:sz w:val="18"/>
                <w:szCs w:val="18"/>
              </w:rPr>
            </w:pPr>
          </w:p>
        </w:tc>
        <w:tc>
          <w:tcPr>
            <w:tcW w:w="1080" w:type="dxa"/>
            <w:tcBorders>
              <w:top w:val="single" w:color="auto" w:sz="4" w:space="0"/>
              <w:left w:val="nil"/>
              <w:bottom w:val="single" w:color="auto" w:sz="4" w:space="0"/>
              <w:right w:val="single" w:color="auto" w:sz="4" w:space="0"/>
            </w:tcBorders>
            <w:shd w:val="clear" w:color="auto" w:fill="auto"/>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部门和地方规章</w:t>
            </w:r>
          </w:p>
        </w:tc>
        <w:tc>
          <w:tcPr>
            <w:tcW w:w="270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与救灾有关的部门和地方规章、规范性文件</w:t>
            </w:r>
          </w:p>
        </w:tc>
        <w:tc>
          <w:tcPr>
            <w:tcW w:w="1968"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《政府信息公开条例》</w:t>
            </w:r>
          </w:p>
        </w:tc>
        <w:tc>
          <w:tcPr>
            <w:tcW w:w="216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信息形成或变更之日起20个工作日内</w:t>
            </w:r>
          </w:p>
        </w:tc>
        <w:tc>
          <w:tcPr>
            <w:tcW w:w="109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r>
              <w:rPr>
                <w:rFonts w:hint="eastAsia" w:ascii="仿宋_GB2312" w:eastAsia="仿宋_GB2312"/>
                <w:sz w:val="18"/>
                <w:szCs w:val="18"/>
              </w:rPr>
              <w:t>应急管理部门</w:t>
            </w:r>
          </w:p>
        </w:tc>
        <w:tc>
          <w:tcPr>
            <w:tcW w:w="149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exact"/>
              <w:jc w:val="left"/>
              <w:rPr>
                <w:rFonts w:ascii="仿宋_GB2312" w:eastAsia="仿宋_GB2312"/>
                <w:sz w:val="18"/>
                <w:szCs w:val="18"/>
              </w:rPr>
            </w:pPr>
            <w:r>
              <w:rPr>
                <w:rFonts w:hint="eastAsia" w:ascii="仿宋_GB2312" w:eastAsia="仿宋_GB2312"/>
                <w:sz w:val="18"/>
                <w:szCs w:val="18"/>
              </w:rPr>
              <w:t>■政府网站   ■两微一端   ■公开查阅点 ■政务服务中心</w:t>
            </w:r>
          </w:p>
        </w:tc>
        <w:tc>
          <w:tcPr>
            <w:tcW w:w="540" w:type="dxa"/>
            <w:tcBorders>
              <w:top w:val="single" w:color="auto" w:sz="4" w:space="0"/>
              <w:left w:val="nil"/>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720" w:type="dxa"/>
            <w:tcBorders>
              <w:top w:val="single" w:color="auto" w:sz="4" w:space="0"/>
              <w:left w:val="nil"/>
              <w:bottom w:val="single" w:color="auto" w:sz="4" w:space="0"/>
              <w:right w:val="single" w:color="auto" w:sz="4" w:space="0"/>
            </w:tcBorders>
            <w:shd w:val="clear" w:color="auto" w:fill="auto"/>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　</w:t>
            </w:r>
          </w:p>
        </w:tc>
        <w:tc>
          <w:tcPr>
            <w:tcW w:w="540" w:type="dxa"/>
            <w:tcBorders>
              <w:top w:val="single" w:color="auto" w:sz="4" w:space="0"/>
              <w:left w:val="nil"/>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720" w:type="dxa"/>
            <w:tcBorders>
              <w:top w:val="single" w:color="auto" w:sz="4" w:space="0"/>
              <w:left w:val="nil"/>
              <w:bottom w:val="single" w:color="auto" w:sz="4" w:space="0"/>
              <w:right w:val="single" w:color="auto" w:sz="4" w:space="0"/>
            </w:tcBorders>
            <w:shd w:val="clear" w:color="auto" w:fill="auto"/>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　</w:t>
            </w:r>
          </w:p>
        </w:tc>
        <w:tc>
          <w:tcPr>
            <w:tcW w:w="540" w:type="dxa"/>
            <w:tcBorders>
              <w:top w:val="single" w:color="auto" w:sz="4" w:space="0"/>
              <w:left w:val="nil"/>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664" w:type="dxa"/>
            <w:tcBorders>
              <w:top w:val="single" w:color="auto" w:sz="4" w:space="0"/>
              <w:left w:val="nil"/>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p>
        </w:tc>
      </w:tr>
      <w:tr>
        <w:tblPrEx>
          <w:tblLayout w:type="fixed"/>
          <w:tblCellMar>
            <w:top w:w="0" w:type="dxa"/>
            <w:left w:w="108" w:type="dxa"/>
            <w:bottom w:w="0" w:type="dxa"/>
            <w:right w:w="108" w:type="dxa"/>
          </w:tblCellMar>
        </w:tblPrEx>
        <w:trPr>
          <w:trHeight w:val="826" w:hRule="atLeast"/>
        </w:trPr>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hAnsi="宋体" w:eastAsia="仿宋_GB2312" w:cs="宋体"/>
                <w:color w:val="000000"/>
                <w:sz w:val="18"/>
                <w:szCs w:val="18"/>
              </w:rPr>
            </w:pPr>
            <w:r>
              <w:rPr>
                <w:rFonts w:hint="eastAsia" w:ascii="仿宋_GB2312" w:eastAsia="仿宋_GB2312"/>
                <w:color w:val="000000"/>
                <w:sz w:val="18"/>
                <w:szCs w:val="18"/>
              </w:rPr>
              <w:t>3</w:t>
            </w:r>
          </w:p>
        </w:tc>
        <w:tc>
          <w:tcPr>
            <w:tcW w:w="900" w:type="dxa"/>
            <w:vMerge w:val="continue"/>
            <w:tcBorders>
              <w:left w:val="nil"/>
              <w:right w:val="single" w:color="auto" w:sz="4" w:space="0"/>
            </w:tcBorders>
            <w:shd w:val="clear" w:color="auto" w:fill="auto"/>
            <w:vAlign w:val="center"/>
          </w:tcPr>
          <w:p>
            <w:pPr>
              <w:jc w:val="center"/>
              <w:rPr>
                <w:rFonts w:hint="eastAsia" w:ascii="仿宋_GB2312" w:hAnsi="宋体" w:eastAsia="仿宋_GB2312" w:cs="宋体"/>
                <w:color w:val="000000"/>
                <w:sz w:val="18"/>
                <w:szCs w:val="18"/>
              </w:rPr>
            </w:pPr>
          </w:p>
        </w:tc>
        <w:tc>
          <w:tcPr>
            <w:tcW w:w="1080" w:type="dxa"/>
            <w:tcBorders>
              <w:top w:val="single" w:color="auto" w:sz="4" w:space="0"/>
              <w:left w:val="nil"/>
              <w:bottom w:val="single" w:color="auto" w:sz="4" w:space="0"/>
              <w:right w:val="single" w:color="auto" w:sz="4" w:space="0"/>
            </w:tcBorders>
            <w:shd w:val="clear" w:color="auto" w:fill="auto"/>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其他政策文件</w:t>
            </w:r>
          </w:p>
        </w:tc>
        <w:tc>
          <w:tcPr>
            <w:tcW w:w="270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其他可以公开的与救灾有关的政策文件，包括改革方案、发展规划、专项规划、工作计划等</w:t>
            </w:r>
          </w:p>
        </w:tc>
        <w:tc>
          <w:tcPr>
            <w:tcW w:w="1968"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《政府信息公开条例》</w:t>
            </w:r>
          </w:p>
        </w:tc>
        <w:tc>
          <w:tcPr>
            <w:tcW w:w="216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信息形成或变更之日起20个工作日内</w:t>
            </w:r>
          </w:p>
        </w:tc>
        <w:tc>
          <w:tcPr>
            <w:tcW w:w="109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r>
              <w:rPr>
                <w:rFonts w:hint="eastAsia" w:ascii="仿宋_GB2312" w:eastAsia="仿宋_GB2312"/>
                <w:sz w:val="18"/>
                <w:szCs w:val="18"/>
              </w:rPr>
              <w:t>应急管理部门</w:t>
            </w:r>
          </w:p>
        </w:tc>
        <w:tc>
          <w:tcPr>
            <w:tcW w:w="1496" w:type="dxa"/>
            <w:tcBorders>
              <w:top w:val="single" w:color="auto" w:sz="4" w:space="0"/>
              <w:left w:val="single" w:color="auto" w:sz="4" w:space="0"/>
              <w:bottom w:val="single" w:color="auto" w:sz="4" w:space="0"/>
              <w:right w:val="single" w:color="auto" w:sz="4" w:space="0"/>
            </w:tcBorders>
            <w:shd w:val="clear" w:color="auto" w:fill="auto"/>
          </w:tcPr>
          <w:p>
            <w:pPr>
              <w:spacing w:line="240" w:lineRule="exact"/>
              <w:jc w:val="left"/>
              <w:rPr>
                <w:rFonts w:hint="eastAsia" w:ascii="仿宋_GB2312" w:eastAsia="仿宋_GB2312"/>
                <w:sz w:val="18"/>
                <w:szCs w:val="18"/>
              </w:rPr>
            </w:pPr>
            <w:r>
              <w:rPr>
                <w:rFonts w:hint="eastAsia" w:ascii="仿宋_GB2312" w:eastAsia="仿宋_GB2312"/>
                <w:sz w:val="18"/>
                <w:szCs w:val="18"/>
              </w:rPr>
              <w:t>■政府网站</w:t>
            </w:r>
          </w:p>
        </w:tc>
        <w:tc>
          <w:tcPr>
            <w:tcW w:w="540" w:type="dxa"/>
            <w:tcBorders>
              <w:top w:val="single" w:color="auto" w:sz="4" w:space="0"/>
              <w:left w:val="nil"/>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720" w:type="dxa"/>
            <w:tcBorders>
              <w:top w:val="single" w:color="auto" w:sz="4" w:space="0"/>
              <w:left w:val="nil"/>
              <w:bottom w:val="single" w:color="auto" w:sz="4" w:space="0"/>
              <w:right w:val="single" w:color="auto" w:sz="4" w:space="0"/>
            </w:tcBorders>
            <w:shd w:val="clear" w:color="auto" w:fill="auto"/>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　</w:t>
            </w:r>
          </w:p>
        </w:tc>
        <w:tc>
          <w:tcPr>
            <w:tcW w:w="540" w:type="dxa"/>
            <w:tcBorders>
              <w:top w:val="single" w:color="auto" w:sz="4" w:space="0"/>
              <w:left w:val="nil"/>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720" w:type="dxa"/>
            <w:tcBorders>
              <w:top w:val="single" w:color="auto" w:sz="4" w:space="0"/>
              <w:left w:val="nil"/>
              <w:bottom w:val="single" w:color="auto" w:sz="4" w:space="0"/>
              <w:right w:val="single" w:color="auto" w:sz="4" w:space="0"/>
            </w:tcBorders>
            <w:shd w:val="clear" w:color="auto" w:fill="auto"/>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　</w:t>
            </w:r>
          </w:p>
        </w:tc>
        <w:tc>
          <w:tcPr>
            <w:tcW w:w="540" w:type="dxa"/>
            <w:tcBorders>
              <w:top w:val="single" w:color="auto" w:sz="4" w:space="0"/>
              <w:left w:val="nil"/>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664" w:type="dxa"/>
            <w:tcBorders>
              <w:top w:val="single" w:color="auto" w:sz="4" w:space="0"/>
              <w:left w:val="nil"/>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p>
        </w:tc>
      </w:tr>
      <w:tr>
        <w:tblPrEx>
          <w:tblLayout w:type="fixed"/>
          <w:tblCellMar>
            <w:top w:w="0" w:type="dxa"/>
            <w:left w:w="108" w:type="dxa"/>
            <w:bottom w:w="0" w:type="dxa"/>
            <w:right w:w="108" w:type="dxa"/>
          </w:tblCellMar>
        </w:tblPrEx>
        <w:trPr>
          <w:trHeight w:val="970" w:hRule="atLeast"/>
        </w:trPr>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hAnsi="宋体" w:eastAsia="仿宋_GB2312" w:cs="宋体"/>
                <w:color w:val="000000"/>
                <w:sz w:val="18"/>
                <w:szCs w:val="18"/>
              </w:rPr>
            </w:pPr>
            <w:r>
              <w:rPr>
                <w:rFonts w:hint="eastAsia" w:ascii="仿宋_GB2312" w:eastAsia="仿宋_GB2312"/>
                <w:color w:val="000000"/>
                <w:sz w:val="18"/>
                <w:szCs w:val="18"/>
              </w:rPr>
              <w:t>4</w:t>
            </w:r>
          </w:p>
        </w:tc>
        <w:tc>
          <w:tcPr>
            <w:tcW w:w="900" w:type="dxa"/>
            <w:vMerge w:val="continue"/>
            <w:tcBorders>
              <w:left w:val="nil"/>
              <w:bottom w:val="single" w:color="auto" w:sz="4" w:space="0"/>
              <w:right w:val="single" w:color="auto" w:sz="4" w:space="0"/>
            </w:tcBorders>
            <w:shd w:val="clear" w:color="auto" w:fill="auto"/>
            <w:vAlign w:val="center"/>
          </w:tcPr>
          <w:p>
            <w:pPr>
              <w:jc w:val="center"/>
              <w:rPr>
                <w:rFonts w:hint="eastAsia" w:ascii="仿宋_GB2312" w:hAnsi="宋体" w:eastAsia="仿宋_GB2312" w:cs="宋体"/>
                <w:color w:val="000000"/>
                <w:sz w:val="18"/>
                <w:szCs w:val="18"/>
              </w:rPr>
            </w:pPr>
          </w:p>
        </w:tc>
        <w:tc>
          <w:tcPr>
            <w:tcW w:w="1080" w:type="dxa"/>
            <w:tcBorders>
              <w:top w:val="single" w:color="auto" w:sz="4" w:space="0"/>
              <w:left w:val="nil"/>
              <w:bottom w:val="single" w:color="auto" w:sz="4" w:space="0"/>
              <w:right w:val="single" w:color="auto" w:sz="4" w:space="0"/>
            </w:tcBorders>
            <w:shd w:val="clear" w:color="auto" w:fill="auto"/>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标准</w:t>
            </w:r>
          </w:p>
        </w:tc>
        <w:tc>
          <w:tcPr>
            <w:tcW w:w="270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救灾领域有关的国家标准、行业标准、地方标准等</w:t>
            </w:r>
          </w:p>
        </w:tc>
        <w:tc>
          <w:tcPr>
            <w:tcW w:w="1968"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《政府信息公开条例》</w:t>
            </w:r>
          </w:p>
        </w:tc>
        <w:tc>
          <w:tcPr>
            <w:tcW w:w="216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信息形成或变更之日起20个工作日内</w:t>
            </w:r>
          </w:p>
        </w:tc>
        <w:tc>
          <w:tcPr>
            <w:tcW w:w="109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r>
              <w:rPr>
                <w:rFonts w:hint="eastAsia" w:ascii="仿宋_GB2312" w:eastAsia="仿宋_GB2312"/>
                <w:sz w:val="18"/>
                <w:szCs w:val="18"/>
              </w:rPr>
              <w:t>应急管理部门</w:t>
            </w:r>
          </w:p>
        </w:tc>
        <w:tc>
          <w:tcPr>
            <w:tcW w:w="1496" w:type="dxa"/>
            <w:tcBorders>
              <w:top w:val="single" w:color="auto" w:sz="4" w:space="0"/>
              <w:left w:val="single" w:color="auto" w:sz="4" w:space="0"/>
              <w:bottom w:val="single" w:color="auto" w:sz="4" w:space="0"/>
              <w:right w:val="single" w:color="auto" w:sz="4" w:space="0"/>
            </w:tcBorders>
            <w:shd w:val="clear" w:color="auto" w:fill="auto"/>
          </w:tcPr>
          <w:p>
            <w:pPr>
              <w:spacing w:line="240" w:lineRule="exact"/>
              <w:jc w:val="left"/>
              <w:rPr>
                <w:rFonts w:hint="eastAsia" w:ascii="仿宋_GB2312" w:eastAsia="仿宋_GB2312"/>
                <w:sz w:val="18"/>
                <w:szCs w:val="18"/>
              </w:rPr>
            </w:pPr>
            <w:r>
              <w:rPr>
                <w:rFonts w:hint="eastAsia" w:ascii="仿宋_GB2312" w:eastAsia="仿宋_GB2312"/>
                <w:sz w:val="18"/>
                <w:szCs w:val="18"/>
              </w:rPr>
              <w:t>■政府网站</w:t>
            </w:r>
          </w:p>
        </w:tc>
        <w:tc>
          <w:tcPr>
            <w:tcW w:w="540" w:type="dxa"/>
            <w:tcBorders>
              <w:top w:val="single" w:color="auto" w:sz="4" w:space="0"/>
              <w:left w:val="nil"/>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720" w:type="dxa"/>
            <w:tcBorders>
              <w:top w:val="single" w:color="auto" w:sz="4" w:space="0"/>
              <w:left w:val="nil"/>
              <w:bottom w:val="single" w:color="auto" w:sz="4" w:space="0"/>
              <w:right w:val="single" w:color="auto" w:sz="4" w:space="0"/>
            </w:tcBorders>
            <w:shd w:val="clear" w:color="auto" w:fill="auto"/>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　</w:t>
            </w:r>
          </w:p>
        </w:tc>
        <w:tc>
          <w:tcPr>
            <w:tcW w:w="540" w:type="dxa"/>
            <w:tcBorders>
              <w:top w:val="single" w:color="auto" w:sz="4" w:space="0"/>
              <w:left w:val="nil"/>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720" w:type="dxa"/>
            <w:tcBorders>
              <w:top w:val="single" w:color="auto" w:sz="4" w:space="0"/>
              <w:left w:val="nil"/>
              <w:bottom w:val="single" w:color="auto" w:sz="4" w:space="0"/>
              <w:right w:val="single" w:color="auto" w:sz="4" w:space="0"/>
            </w:tcBorders>
            <w:shd w:val="clear" w:color="auto" w:fill="auto"/>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　</w:t>
            </w:r>
          </w:p>
        </w:tc>
        <w:tc>
          <w:tcPr>
            <w:tcW w:w="540" w:type="dxa"/>
            <w:tcBorders>
              <w:top w:val="single" w:color="auto" w:sz="4" w:space="0"/>
              <w:left w:val="nil"/>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664" w:type="dxa"/>
            <w:tcBorders>
              <w:top w:val="single" w:color="auto" w:sz="4" w:space="0"/>
              <w:left w:val="nil"/>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r>
              <w:rPr>
                <w:rFonts w:hint="eastAsia" w:ascii="仿宋_GB2312" w:eastAsia="仿宋_GB2312"/>
                <w:sz w:val="18"/>
                <w:szCs w:val="18"/>
              </w:rPr>
              <w:t>　</w:t>
            </w:r>
          </w:p>
        </w:tc>
      </w:tr>
      <w:tr>
        <w:tblPrEx>
          <w:tblLayout w:type="fixed"/>
          <w:tblCellMar>
            <w:top w:w="0" w:type="dxa"/>
            <w:left w:w="108" w:type="dxa"/>
            <w:bottom w:w="0" w:type="dxa"/>
            <w:right w:w="108" w:type="dxa"/>
          </w:tblCellMar>
        </w:tblPrEx>
        <w:trPr>
          <w:trHeight w:val="1237" w:hRule="atLeast"/>
        </w:trPr>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hAnsi="宋体" w:eastAsia="仿宋_GB2312" w:cs="宋体"/>
                <w:color w:val="000000"/>
                <w:sz w:val="18"/>
                <w:szCs w:val="18"/>
              </w:rPr>
            </w:pPr>
            <w:r>
              <w:rPr>
                <w:rFonts w:hint="eastAsia" w:ascii="仿宋_GB2312" w:eastAsia="仿宋_GB2312"/>
                <w:color w:val="000000"/>
                <w:sz w:val="18"/>
                <w:szCs w:val="18"/>
              </w:rPr>
              <w:t>5</w:t>
            </w:r>
          </w:p>
        </w:tc>
        <w:tc>
          <w:tcPr>
            <w:tcW w:w="900" w:type="dxa"/>
            <w:vMerge w:val="restart"/>
            <w:tcBorders>
              <w:top w:val="single" w:color="auto" w:sz="4" w:space="0"/>
              <w:left w:val="single" w:color="auto" w:sz="4" w:space="0"/>
              <w:right w:val="single" w:color="auto" w:sz="4" w:space="0"/>
            </w:tcBorders>
            <w:shd w:val="clear" w:color="auto" w:fill="auto"/>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政策</w:t>
            </w:r>
          </w:p>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文件</w:t>
            </w:r>
          </w:p>
        </w:tc>
        <w:tc>
          <w:tcPr>
            <w:tcW w:w="1080" w:type="dxa"/>
            <w:tcBorders>
              <w:top w:val="single" w:color="auto" w:sz="4" w:space="0"/>
              <w:left w:val="nil"/>
              <w:bottom w:val="single" w:color="auto" w:sz="4" w:space="0"/>
              <w:right w:val="single" w:color="auto" w:sz="4" w:space="0"/>
            </w:tcBorders>
            <w:shd w:val="clear" w:color="auto" w:fill="auto"/>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重大决策草案</w:t>
            </w:r>
          </w:p>
        </w:tc>
        <w:tc>
          <w:tcPr>
            <w:tcW w:w="270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涉及管理相对人切身利益、需社会广泛知晓的重要改革方案等重大决策，决策前向社会公开决策草案、决策依据</w:t>
            </w:r>
          </w:p>
        </w:tc>
        <w:tc>
          <w:tcPr>
            <w:tcW w:w="1968"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《政府信息公开条例》、《关于全面推进政务公开工作的意见》</w:t>
            </w:r>
          </w:p>
        </w:tc>
        <w:tc>
          <w:tcPr>
            <w:tcW w:w="216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按进展情况及时公开</w:t>
            </w:r>
          </w:p>
        </w:tc>
        <w:tc>
          <w:tcPr>
            <w:tcW w:w="109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r>
              <w:rPr>
                <w:rFonts w:hint="eastAsia" w:ascii="仿宋_GB2312" w:eastAsia="仿宋_GB2312"/>
                <w:sz w:val="18"/>
                <w:szCs w:val="18"/>
              </w:rPr>
              <w:t>应急管理部门</w:t>
            </w:r>
          </w:p>
        </w:tc>
        <w:tc>
          <w:tcPr>
            <w:tcW w:w="149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exact"/>
              <w:jc w:val="left"/>
              <w:rPr>
                <w:rFonts w:ascii="仿宋_GB2312" w:eastAsia="仿宋_GB2312"/>
                <w:sz w:val="18"/>
                <w:szCs w:val="18"/>
              </w:rPr>
            </w:pPr>
            <w:r>
              <w:rPr>
                <w:rFonts w:hint="eastAsia" w:ascii="仿宋_GB2312" w:eastAsia="仿宋_GB2312"/>
                <w:sz w:val="18"/>
                <w:szCs w:val="18"/>
              </w:rPr>
              <w:t xml:space="preserve">■政府网站   ■两微一端   ■公开查阅点 </w:t>
            </w:r>
          </w:p>
        </w:tc>
        <w:tc>
          <w:tcPr>
            <w:tcW w:w="540" w:type="dxa"/>
            <w:tcBorders>
              <w:top w:val="single" w:color="auto" w:sz="4" w:space="0"/>
              <w:left w:val="nil"/>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720" w:type="dxa"/>
            <w:tcBorders>
              <w:top w:val="single" w:color="auto" w:sz="4" w:space="0"/>
              <w:left w:val="nil"/>
              <w:bottom w:val="single" w:color="auto" w:sz="4" w:space="0"/>
              <w:right w:val="single" w:color="auto" w:sz="4" w:space="0"/>
            </w:tcBorders>
            <w:shd w:val="clear" w:color="auto" w:fill="auto"/>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　</w:t>
            </w:r>
          </w:p>
        </w:tc>
        <w:tc>
          <w:tcPr>
            <w:tcW w:w="540" w:type="dxa"/>
            <w:tcBorders>
              <w:top w:val="single" w:color="auto" w:sz="4" w:space="0"/>
              <w:left w:val="nil"/>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720" w:type="dxa"/>
            <w:tcBorders>
              <w:top w:val="single" w:color="auto" w:sz="4" w:space="0"/>
              <w:left w:val="nil"/>
              <w:bottom w:val="single" w:color="auto" w:sz="4" w:space="0"/>
              <w:right w:val="single" w:color="auto" w:sz="4" w:space="0"/>
            </w:tcBorders>
            <w:shd w:val="clear" w:color="auto" w:fill="auto"/>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　</w:t>
            </w:r>
          </w:p>
        </w:tc>
        <w:tc>
          <w:tcPr>
            <w:tcW w:w="540" w:type="dxa"/>
            <w:tcBorders>
              <w:top w:val="single" w:color="auto" w:sz="4" w:space="0"/>
              <w:left w:val="nil"/>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664" w:type="dxa"/>
            <w:tcBorders>
              <w:top w:val="single" w:color="auto" w:sz="4" w:space="0"/>
              <w:left w:val="nil"/>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p>
        </w:tc>
      </w:tr>
      <w:tr>
        <w:tblPrEx>
          <w:tblLayout w:type="fixed"/>
          <w:tblCellMar>
            <w:top w:w="0" w:type="dxa"/>
            <w:left w:w="108" w:type="dxa"/>
            <w:bottom w:w="0" w:type="dxa"/>
            <w:right w:w="108" w:type="dxa"/>
          </w:tblCellMar>
        </w:tblPrEx>
        <w:trPr>
          <w:trHeight w:val="1086" w:hRule="atLeast"/>
        </w:trPr>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hAnsi="宋体" w:eastAsia="仿宋_GB2312" w:cs="宋体"/>
                <w:color w:val="000000"/>
                <w:sz w:val="18"/>
                <w:szCs w:val="18"/>
              </w:rPr>
            </w:pPr>
            <w:r>
              <w:rPr>
                <w:rFonts w:hint="eastAsia" w:ascii="仿宋_GB2312" w:eastAsia="仿宋_GB2312"/>
                <w:color w:val="000000"/>
                <w:sz w:val="18"/>
                <w:szCs w:val="18"/>
              </w:rPr>
              <w:t>6</w:t>
            </w:r>
          </w:p>
        </w:tc>
        <w:tc>
          <w:tcPr>
            <w:tcW w:w="900" w:type="dxa"/>
            <w:vMerge w:val="continue"/>
            <w:tcBorders>
              <w:left w:val="single" w:color="auto" w:sz="4" w:space="0"/>
              <w:right w:val="single" w:color="auto" w:sz="4" w:space="0"/>
            </w:tcBorders>
            <w:shd w:val="clear" w:color="auto" w:fill="auto"/>
            <w:vAlign w:val="center"/>
          </w:tcPr>
          <w:p>
            <w:pPr>
              <w:jc w:val="center"/>
              <w:rPr>
                <w:rFonts w:hint="eastAsia" w:ascii="仿宋_GB2312" w:hAnsi="宋体" w:eastAsia="仿宋_GB2312" w:cs="宋体"/>
                <w:color w:val="000000"/>
                <w:sz w:val="18"/>
                <w:szCs w:val="18"/>
              </w:rPr>
            </w:pPr>
          </w:p>
        </w:tc>
        <w:tc>
          <w:tcPr>
            <w:tcW w:w="1080" w:type="dxa"/>
            <w:tcBorders>
              <w:top w:val="single" w:color="auto" w:sz="4" w:space="0"/>
              <w:left w:val="nil"/>
              <w:bottom w:val="single" w:color="auto" w:sz="4" w:space="0"/>
              <w:right w:val="single" w:color="auto" w:sz="4" w:space="0"/>
            </w:tcBorders>
            <w:shd w:val="clear" w:color="auto" w:fill="auto"/>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重大政策解读及回应</w:t>
            </w:r>
          </w:p>
        </w:tc>
        <w:tc>
          <w:tcPr>
            <w:tcW w:w="270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eastAsia" w:ascii="仿宋_GB2312" w:eastAsia="仿宋_GB2312"/>
                <w:color w:val="000000"/>
                <w:sz w:val="18"/>
                <w:szCs w:val="18"/>
              </w:rPr>
            </w:pPr>
            <w:r>
              <w:rPr>
                <w:rFonts w:hint="eastAsia" w:ascii="仿宋_GB2312" w:eastAsia="仿宋_GB2312"/>
                <w:color w:val="000000"/>
                <w:sz w:val="18"/>
                <w:szCs w:val="18"/>
              </w:rPr>
              <w:t xml:space="preserve">有关重大政策的解读及回应                       </w:t>
            </w:r>
          </w:p>
          <w:p>
            <w:pPr>
              <w:rPr>
                <w:rFonts w:ascii="仿宋_GB2312" w:hAnsi="宋体" w:eastAsia="仿宋_GB2312" w:cs="宋体"/>
                <w:color w:val="000000"/>
                <w:sz w:val="18"/>
                <w:szCs w:val="18"/>
              </w:rPr>
            </w:pPr>
            <w:r>
              <w:rPr>
                <w:rFonts w:hint="eastAsia" w:ascii="仿宋_GB2312" w:eastAsia="仿宋_GB2312"/>
                <w:color w:val="000000"/>
                <w:sz w:val="18"/>
                <w:szCs w:val="18"/>
              </w:rPr>
              <w:t>相关热点问题的解读及回应</w:t>
            </w:r>
          </w:p>
        </w:tc>
        <w:tc>
          <w:tcPr>
            <w:tcW w:w="1968"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《政府信息公开条例》、《国务院办公厅关于在政务公开工作中进一步做好政务舆情回应的通知》</w:t>
            </w:r>
          </w:p>
        </w:tc>
        <w:tc>
          <w:tcPr>
            <w:tcW w:w="216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重大决策作出后及时公开</w:t>
            </w:r>
          </w:p>
        </w:tc>
        <w:tc>
          <w:tcPr>
            <w:tcW w:w="109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r>
              <w:rPr>
                <w:rFonts w:hint="eastAsia" w:ascii="仿宋_GB2312" w:eastAsia="仿宋_GB2312"/>
                <w:sz w:val="18"/>
                <w:szCs w:val="18"/>
              </w:rPr>
              <w:t>应急管理部门</w:t>
            </w:r>
          </w:p>
        </w:tc>
        <w:tc>
          <w:tcPr>
            <w:tcW w:w="149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exact"/>
              <w:jc w:val="left"/>
              <w:rPr>
                <w:rFonts w:ascii="仿宋_GB2312" w:eastAsia="仿宋_GB2312"/>
                <w:sz w:val="18"/>
                <w:szCs w:val="18"/>
              </w:rPr>
            </w:pPr>
            <w:r>
              <w:rPr>
                <w:rFonts w:hint="eastAsia" w:ascii="仿宋_GB2312" w:eastAsia="仿宋_GB2312"/>
                <w:sz w:val="18"/>
                <w:szCs w:val="18"/>
              </w:rPr>
              <w:t xml:space="preserve">■政府网站   </w:t>
            </w:r>
            <w:r>
              <w:rPr>
                <w:rFonts w:hint="eastAsia" w:ascii="仿宋_GB2312" w:eastAsia="仿宋_GB2312"/>
                <w:sz w:val="18"/>
                <w:szCs w:val="18"/>
              </w:rPr>
              <w:br w:type="textWrapping"/>
            </w:r>
            <w:r>
              <w:rPr>
                <w:rFonts w:hint="eastAsia" w:ascii="仿宋_GB2312" w:eastAsia="仿宋_GB2312"/>
                <w:sz w:val="18"/>
                <w:szCs w:val="18"/>
              </w:rPr>
              <w:t xml:space="preserve">■两微一端   </w:t>
            </w:r>
            <w:r>
              <w:rPr>
                <w:rFonts w:hint="eastAsia" w:ascii="仿宋_GB2312" w:eastAsia="仿宋_GB2312"/>
                <w:sz w:val="18"/>
                <w:szCs w:val="18"/>
              </w:rPr>
              <w:br w:type="textWrapping"/>
            </w:r>
            <w:r>
              <w:rPr>
                <w:rFonts w:hint="eastAsia" w:ascii="仿宋_GB2312" w:eastAsia="仿宋_GB2312"/>
                <w:sz w:val="18"/>
                <w:szCs w:val="18"/>
              </w:rPr>
              <w:t>■广播电视   ■纸质媒体</w:t>
            </w:r>
            <w:r>
              <w:rPr>
                <w:rFonts w:hint="eastAsia" w:ascii="仿宋_GB2312" w:eastAsia="仿宋_GB2312"/>
                <w:sz w:val="18"/>
                <w:szCs w:val="18"/>
              </w:rPr>
              <w:br w:type="textWrapping"/>
            </w:r>
            <w:r>
              <w:rPr>
                <w:rFonts w:hint="eastAsia" w:ascii="仿宋_GB2312" w:eastAsia="仿宋_GB2312"/>
                <w:sz w:val="18"/>
                <w:szCs w:val="18"/>
              </w:rPr>
              <w:t>■公开查阅点 ■政务服务中心</w:t>
            </w:r>
          </w:p>
        </w:tc>
        <w:tc>
          <w:tcPr>
            <w:tcW w:w="540" w:type="dxa"/>
            <w:tcBorders>
              <w:top w:val="single" w:color="auto" w:sz="4" w:space="0"/>
              <w:left w:val="nil"/>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720" w:type="dxa"/>
            <w:tcBorders>
              <w:top w:val="single" w:color="auto" w:sz="4" w:space="0"/>
              <w:left w:val="nil"/>
              <w:bottom w:val="single" w:color="auto" w:sz="4" w:space="0"/>
              <w:right w:val="single" w:color="auto" w:sz="4" w:space="0"/>
            </w:tcBorders>
            <w:shd w:val="clear" w:color="auto" w:fill="auto"/>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　</w:t>
            </w:r>
          </w:p>
        </w:tc>
        <w:tc>
          <w:tcPr>
            <w:tcW w:w="540" w:type="dxa"/>
            <w:tcBorders>
              <w:top w:val="single" w:color="auto" w:sz="4" w:space="0"/>
              <w:left w:val="nil"/>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720" w:type="dxa"/>
            <w:tcBorders>
              <w:top w:val="single" w:color="auto" w:sz="4" w:space="0"/>
              <w:left w:val="nil"/>
              <w:bottom w:val="single" w:color="auto" w:sz="4" w:space="0"/>
              <w:right w:val="single" w:color="auto" w:sz="4" w:space="0"/>
            </w:tcBorders>
            <w:shd w:val="clear" w:color="auto" w:fill="auto"/>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　</w:t>
            </w:r>
          </w:p>
        </w:tc>
        <w:tc>
          <w:tcPr>
            <w:tcW w:w="540" w:type="dxa"/>
            <w:tcBorders>
              <w:top w:val="single" w:color="auto" w:sz="4" w:space="0"/>
              <w:left w:val="nil"/>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664" w:type="dxa"/>
            <w:tcBorders>
              <w:top w:val="single" w:color="auto" w:sz="4" w:space="0"/>
              <w:left w:val="nil"/>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p>
        </w:tc>
      </w:tr>
      <w:tr>
        <w:tblPrEx>
          <w:tblLayout w:type="fixed"/>
          <w:tblCellMar>
            <w:top w:w="0" w:type="dxa"/>
            <w:left w:w="108" w:type="dxa"/>
            <w:bottom w:w="0" w:type="dxa"/>
            <w:right w:w="108" w:type="dxa"/>
          </w:tblCellMar>
        </w:tblPrEx>
        <w:trPr>
          <w:trHeight w:val="1086" w:hRule="atLeast"/>
        </w:trPr>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hAnsi="宋体" w:eastAsia="仿宋_GB2312" w:cs="宋体"/>
                <w:color w:val="000000"/>
                <w:sz w:val="18"/>
                <w:szCs w:val="18"/>
              </w:rPr>
            </w:pPr>
            <w:r>
              <w:rPr>
                <w:rFonts w:hint="eastAsia" w:ascii="仿宋_GB2312" w:eastAsia="仿宋_GB2312"/>
                <w:color w:val="000000"/>
                <w:sz w:val="18"/>
                <w:szCs w:val="18"/>
              </w:rPr>
              <w:t>7</w:t>
            </w:r>
          </w:p>
        </w:tc>
        <w:tc>
          <w:tcPr>
            <w:tcW w:w="900" w:type="dxa"/>
            <w:vMerge w:val="continue"/>
            <w:tcBorders>
              <w:left w:val="single" w:color="auto" w:sz="4" w:space="0"/>
              <w:bottom w:val="single" w:color="auto" w:sz="4" w:space="0"/>
              <w:right w:val="single" w:color="auto" w:sz="4" w:space="0"/>
            </w:tcBorders>
            <w:shd w:val="clear" w:color="auto" w:fill="auto"/>
            <w:vAlign w:val="center"/>
          </w:tcPr>
          <w:p>
            <w:pPr>
              <w:jc w:val="center"/>
              <w:rPr>
                <w:rFonts w:hint="eastAsia" w:ascii="仿宋_GB2312" w:hAnsi="宋体" w:eastAsia="仿宋_GB2312" w:cs="宋体"/>
                <w:color w:val="000000"/>
                <w:sz w:val="18"/>
                <w:szCs w:val="18"/>
              </w:rPr>
            </w:pPr>
          </w:p>
        </w:tc>
        <w:tc>
          <w:tcPr>
            <w:tcW w:w="1080" w:type="dxa"/>
            <w:tcBorders>
              <w:top w:val="single" w:color="auto" w:sz="4" w:space="0"/>
              <w:left w:val="nil"/>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r>
              <w:rPr>
                <w:rFonts w:hint="eastAsia" w:ascii="仿宋_GB2312" w:eastAsia="仿宋_GB2312"/>
                <w:sz w:val="18"/>
                <w:szCs w:val="18"/>
              </w:rPr>
              <w:t>重要会议</w:t>
            </w:r>
          </w:p>
        </w:tc>
        <w:tc>
          <w:tcPr>
            <w:tcW w:w="270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r>
              <w:rPr>
                <w:rFonts w:hint="eastAsia" w:ascii="仿宋_GB2312" w:eastAsia="仿宋_GB2312"/>
                <w:sz w:val="18"/>
                <w:szCs w:val="18"/>
              </w:rPr>
              <w:t>以会议讨论作出重要改革方案等重大决策时，经党组研究认为有必要公开讨论决策过程的会议</w:t>
            </w:r>
          </w:p>
        </w:tc>
        <w:tc>
          <w:tcPr>
            <w:tcW w:w="1968"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《政府信息公开条例》、《关于全面推进政务公开工作的意见》</w:t>
            </w:r>
          </w:p>
        </w:tc>
        <w:tc>
          <w:tcPr>
            <w:tcW w:w="216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r>
              <w:rPr>
                <w:rFonts w:hint="eastAsia" w:ascii="仿宋_GB2312" w:eastAsia="仿宋_GB2312"/>
                <w:sz w:val="18"/>
                <w:szCs w:val="18"/>
              </w:rPr>
              <w:t>提前一周发通知邀请</w:t>
            </w:r>
          </w:p>
        </w:tc>
        <w:tc>
          <w:tcPr>
            <w:tcW w:w="109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r>
              <w:rPr>
                <w:rFonts w:hint="eastAsia" w:ascii="仿宋_GB2312" w:eastAsia="仿宋_GB2312"/>
                <w:sz w:val="18"/>
                <w:szCs w:val="18"/>
              </w:rPr>
              <w:t>应急管理部门</w:t>
            </w:r>
          </w:p>
        </w:tc>
        <w:tc>
          <w:tcPr>
            <w:tcW w:w="149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exact"/>
              <w:jc w:val="left"/>
              <w:rPr>
                <w:rFonts w:ascii="仿宋_GB2312" w:eastAsia="仿宋_GB2312"/>
                <w:sz w:val="18"/>
                <w:szCs w:val="18"/>
              </w:rPr>
            </w:pPr>
            <w:r>
              <w:rPr>
                <w:rFonts w:hint="eastAsia" w:ascii="仿宋_GB2312" w:eastAsia="仿宋_GB2312"/>
                <w:sz w:val="18"/>
                <w:szCs w:val="18"/>
              </w:rPr>
              <w:t xml:space="preserve">■政府网站   ■便民服务站 </w:t>
            </w:r>
          </w:p>
        </w:tc>
        <w:tc>
          <w:tcPr>
            <w:tcW w:w="540" w:type="dxa"/>
            <w:tcBorders>
              <w:top w:val="single" w:color="auto" w:sz="4" w:space="0"/>
              <w:left w:val="nil"/>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720" w:type="dxa"/>
            <w:tcBorders>
              <w:top w:val="single" w:color="auto" w:sz="4" w:space="0"/>
              <w:left w:val="nil"/>
              <w:bottom w:val="single" w:color="auto" w:sz="4" w:space="0"/>
              <w:right w:val="single" w:color="auto" w:sz="4" w:space="0"/>
            </w:tcBorders>
            <w:shd w:val="clear" w:color="auto" w:fill="auto"/>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　</w:t>
            </w:r>
          </w:p>
        </w:tc>
        <w:tc>
          <w:tcPr>
            <w:tcW w:w="540" w:type="dxa"/>
            <w:tcBorders>
              <w:top w:val="single" w:color="auto" w:sz="4" w:space="0"/>
              <w:left w:val="nil"/>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720" w:type="dxa"/>
            <w:tcBorders>
              <w:top w:val="single" w:color="auto" w:sz="4" w:space="0"/>
              <w:left w:val="nil"/>
              <w:bottom w:val="single" w:color="auto" w:sz="4" w:space="0"/>
              <w:right w:val="single" w:color="auto" w:sz="4" w:space="0"/>
            </w:tcBorders>
            <w:shd w:val="clear" w:color="auto" w:fill="auto"/>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　</w:t>
            </w:r>
          </w:p>
        </w:tc>
        <w:tc>
          <w:tcPr>
            <w:tcW w:w="540" w:type="dxa"/>
            <w:tcBorders>
              <w:top w:val="single" w:color="auto" w:sz="4" w:space="0"/>
              <w:left w:val="nil"/>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664" w:type="dxa"/>
            <w:tcBorders>
              <w:top w:val="single" w:color="auto" w:sz="4" w:space="0"/>
              <w:left w:val="nil"/>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p>
        </w:tc>
      </w:tr>
      <w:tr>
        <w:tblPrEx>
          <w:tblLayout w:type="fixed"/>
          <w:tblCellMar>
            <w:top w:w="0" w:type="dxa"/>
            <w:left w:w="108" w:type="dxa"/>
            <w:bottom w:w="0" w:type="dxa"/>
            <w:right w:w="108" w:type="dxa"/>
          </w:tblCellMar>
        </w:tblPrEx>
        <w:trPr>
          <w:trHeight w:val="1086" w:hRule="atLeast"/>
        </w:trPr>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hAnsi="宋体" w:eastAsia="仿宋_GB2312" w:cs="宋体"/>
                <w:color w:val="000000"/>
                <w:sz w:val="18"/>
                <w:szCs w:val="18"/>
              </w:rPr>
            </w:pPr>
            <w:r>
              <w:rPr>
                <w:rFonts w:hint="eastAsia" w:ascii="仿宋_GB2312" w:eastAsia="仿宋_GB2312"/>
                <w:color w:val="000000"/>
                <w:sz w:val="18"/>
                <w:szCs w:val="18"/>
              </w:rPr>
              <w:t>8</w:t>
            </w:r>
          </w:p>
        </w:tc>
        <w:tc>
          <w:tcPr>
            <w:tcW w:w="900"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政策</w:t>
            </w:r>
          </w:p>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文件</w:t>
            </w:r>
          </w:p>
        </w:tc>
        <w:tc>
          <w:tcPr>
            <w:tcW w:w="1080" w:type="dxa"/>
            <w:tcBorders>
              <w:top w:val="single" w:color="auto" w:sz="4" w:space="0"/>
              <w:left w:val="nil"/>
              <w:bottom w:val="single" w:color="auto" w:sz="4" w:space="0"/>
              <w:right w:val="single" w:color="auto" w:sz="4" w:space="0"/>
            </w:tcBorders>
            <w:shd w:val="clear" w:color="auto" w:fill="auto"/>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征集采纳社会公众意见情况</w:t>
            </w:r>
          </w:p>
        </w:tc>
        <w:tc>
          <w:tcPr>
            <w:tcW w:w="270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重大决策草案公布后征集到的社会公众意见情况、采纳与否情况及理由等</w:t>
            </w:r>
          </w:p>
        </w:tc>
        <w:tc>
          <w:tcPr>
            <w:tcW w:w="1968"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《政府信息公开条例》、《关于全面推进政务公开工作的意见》</w:t>
            </w:r>
          </w:p>
        </w:tc>
        <w:tc>
          <w:tcPr>
            <w:tcW w:w="216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征求意见时对外公布的时限内公开</w:t>
            </w:r>
          </w:p>
        </w:tc>
        <w:tc>
          <w:tcPr>
            <w:tcW w:w="109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r>
              <w:rPr>
                <w:rFonts w:hint="eastAsia" w:ascii="仿宋_GB2312" w:eastAsia="仿宋_GB2312"/>
                <w:sz w:val="18"/>
                <w:szCs w:val="18"/>
              </w:rPr>
              <w:t>应急管理部门</w:t>
            </w:r>
          </w:p>
        </w:tc>
        <w:tc>
          <w:tcPr>
            <w:tcW w:w="149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exact"/>
              <w:jc w:val="left"/>
              <w:rPr>
                <w:rFonts w:hint="eastAsia" w:ascii="仿宋_GB2312" w:eastAsia="仿宋_GB2312"/>
                <w:sz w:val="18"/>
                <w:szCs w:val="18"/>
              </w:rPr>
            </w:pPr>
            <w:r>
              <w:rPr>
                <w:rFonts w:hint="eastAsia" w:ascii="仿宋_GB2312" w:eastAsia="仿宋_GB2312"/>
                <w:sz w:val="18"/>
                <w:szCs w:val="18"/>
              </w:rPr>
              <w:t xml:space="preserve">■政府网站   </w:t>
            </w:r>
          </w:p>
          <w:p>
            <w:pPr>
              <w:spacing w:line="240" w:lineRule="exact"/>
              <w:jc w:val="left"/>
              <w:rPr>
                <w:rFonts w:hint="eastAsia" w:ascii="仿宋_GB2312" w:eastAsia="仿宋_GB2312"/>
                <w:sz w:val="18"/>
                <w:szCs w:val="18"/>
              </w:rPr>
            </w:pPr>
            <w:r>
              <w:rPr>
                <w:rFonts w:hint="eastAsia" w:ascii="仿宋_GB2312" w:eastAsia="仿宋_GB2312"/>
                <w:sz w:val="18"/>
                <w:szCs w:val="18"/>
              </w:rPr>
              <w:t xml:space="preserve">■两微一端   </w:t>
            </w:r>
          </w:p>
          <w:p>
            <w:pPr>
              <w:spacing w:line="240" w:lineRule="exact"/>
              <w:jc w:val="left"/>
              <w:rPr>
                <w:rFonts w:ascii="仿宋_GB2312" w:hAnsi="宋体" w:eastAsia="仿宋_GB2312" w:cs="宋体"/>
                <w:sz w:val="18"/>
                <w:szCs w:val="18"/>
              </w:rPr>
            </w:pPr>
            <w:r>
              <w:rPr>
                <w:rFonts w:hint="eastAsia" w:ascii="仿宋_GB2312" w:eastAsia="仿宋_GB2312"/>
                <w:sz w:val="18"/>
                <w:szCs w:val="18"/>
              </w:rPr>
              <w:t xml:space="preserve">■公开查阅点 </w:t>
            </w:r>
          </w:p>
        </w:tc>
        <w:tc>
          <w:tcPr>
            <w:tcW w:w="540" w:type="dxa"/>
            <w:tcBorders>
              <w:top w:val="single" w:color="auto" w:sz="4" w:space="0"/>
              <w:left w:val="nil"/>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720" w:type="dxa"/>
            <w:tcBorders>
              <w:top w:val="single" w:color="auto" w:sz="4" w:space="0"/>
              <w:left w:val="nil"/>
              <w:bottom w:val="single" w:color="auto" w:sz="4" w:space="0"/>
              <w:right w:val="single" w:color="auto" w:sz="4" w:space="0"/>
            </w:tcBorders>
            <w:shd w:val="clear" w:color="auto" w:fill="auto"/>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　</w:t>
            </w:r>
          </w:p>
        </w:tc>
        <w:tc>
          <w:tcPr>
            <w:tcW w:w="540" w:type="dxa"/>
            <w:tcBorders>
              <w:top w:val="single" w:color="auto" w:sz="4" w:space="0"/>
              <w:left w:val="nil"/>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720" w:type="dxa"/>
            <w:tcBorders>
              <w:top w:val="single" w:color="auto" w:sz="4" w:space="0"/>
              <w:left w:val="nil"/>
              <w:bottom w:val="single" w:color="auto" w:sz="4" w:space="0"/>
              <w:right w:val="single" w:color="auto" w:sz="4" w:space="0"/>
            </w:tcBorders>
            <w:shd w:val="clear" w:color="auto" w:fill="auto"/>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　</w:t>
            </w:r>
          </w:p>
        </w:tc>
        <w:tc>
          <w:tcPr>
            <w:tcW w:w="540" w:type="dxa"/>
            <w:tcBorders>
              <w:top w:val="single" w:color="auto" w:sz="4" w:space="0"/>
              <w:left w:val="nil"/>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664" w:type="dxa"/>
            <w:tcBorders>
              <w:top w:val="single" w:color="auto" w:sz="4" w:space="0"/>
              <w:left w:val="nil"/>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p>
        </w:tc>
      </w:tr>
      <w:tr>
        <w:tblPrEx>
          <w:tblLayout w:type="fixed"/>
          <w:tblCellMar>
            <w:top w:w="0" w:type="dxa"/>
            <w:left w:w="108" w:type="dxa"/>
            <w:bottom w:w="0" w:type="dxa"/>
            <w:right w:w="108" w:type="dxa"/>
          </w:tblCellMar>
        </w:tblPrEx>
        <w:trPr>
          <w:trHeight w:val="1086" w:hRule="atLeast"/>
        </w:trPr>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9</w:t>
            </w:r>
          </w:p>
        </w:tc>
        <w:tc>
          <w:tcPr>
            <w:tcW w:w="900" w:type="dxa"/>
            <w:vMerge w:val="restart"/>
            <w:tcBorders>
              <w:left w:val="nil"/>
              <w:right w:val="single" w:color="auto" w:sz="4" w:space="0"/>
            </w:tcBorders>
            <w:shd w:val="clear" w:color="auto" w:fill="auto"/>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备灾</w:t>
            </w:r>
          </w:p>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管理</w:t>
            </w:r>
          </w:p>
        </w:tc>
        <w:tc>
          <w:tcPr>
            <w:tcW w:w="1080" w:type="dxa"/>
            <w:tcBorders>
              <w:top w:val="single" w:color="auto" w:sz="4" w:space="0"/>
              <w:left w:val="nil"/>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r>
              <w:rPr>
                <w:rFonts w:hint="eastAsia" w:ascii="仿宋_GB2312" w:eastAsia="仿宋_GB2312"/>
                <w:sz w:val="18"/>
                <w:szCs w:val="18"/>
              </w:rPr>
              <w:t>综合减灾示范社区</w:t>
            </w:r>
          </w:p>
        </w:tc>
        <w:tc>
          <w:tcPr>
            <w:tcW w:w="270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r>
              <w:rPr>
                <w:rFonts w:hint="eastAsia" w:ascii="仿宋_GB2312" w:eastAsia="仿宋_GB2312"/>
                <w:sz w:val="18"/>
                <w:szCs w:val="18"/>
              </w:rPr>
              <w:t>综合减灾示范社区分布情况（其具体位置、创建时间、创建级别等）</w:t>
            </w:r>
          </w:p>
        </w:tc>
        <w:tc>
          <w:tcPr>
            <w:tcW w:w="1968"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r>
              <w:rPr>
                <w:rFonts w:hint="eastAsia" w:ascii="仿宋_GB2312" w:eastAsia="仿宋_GB2312"/>
                <w:sz w:val="18"/>
                <w:szCs w:val="18"/>
              </w:rPr>
              <w:t>《政府信息公开条例》、《社会救助暂行办法》、《国家综合防灾减灾规划（2016-2020年）》</w:t>
            </w:r>
          </w:p>
        </w:tc>
        <w:tc>
          <w:tcPr>
            <w:tcW w:w="216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r>
              <w:rPr>
                <w:rFonts w:hint="eastAsia" w:ascii="仿宋_GB2312" w:eastAsia="仿宋_GB2312"/>
                <w:sz w:val="18"/>
                <w:szCs w:val="18"/>
              </w:rPr>
              <w:t>信息形成或变更之日起20个工作日内</w:t>
            </w:r>
          </w:p>
        </w:tc>
        <w:tc>
          <w:tcPr>
            <w:tcW w:w="109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r>
              <w:rPr>
                <w:rFonts w:hint="eastAsia" w:ascii="仿宋_GB2312" w:eastAsia="仿宋_GB2312"/>
                <w:sz w:val="18"/>
                <w:szCs w:val="18"/>
              </w:rPr>
              <w:t>应急管理部门</w:t>
            </w:r>
          </w:p>
        </w:tc>
        <w:tc>
          <w:tcPr>
            <w:tcW w:w="149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exact"/>
              <w:jc w:val="left"/>
              <w:rPr>
                <w:rFonts w:ascii="仿宋_GB2312" w:eastAsia="仿宋_GB2312"/>
                <w:sz w:val="18"/>
                <w:szCs w:val="18"/>
              </w:rPr>
            </w:pPr>
            <w:r>
              <w:rPr>
                <w:rFonts w:hint="eastAsia" w:ascii="仿宋_GB2312" w:eastAsia="仿宋_GB2312"/>
                <w:sz w:val="18"/>
                <w:szCs w:val="18"/>
              </w:rPr>
              <w:t xml:space="preserve">■政府网站   </w:t>
            </w:r>
            <w:r>
              <w:rPr>
                <w:rFonts w:hint="eastAsia" w:ascii="仿宋_GB2312" w:eastAsia="仿宋_GB2312"/>
                <w:sz w:val="18"/>
                <w:szCs w:val="18"/>
              </w:rPr>
              <w:br w:type="textWrapping"/>
            </w:r>
            <w:r>
              <w:rPr>
                <w:rFonts w:hint="eastAsia" w:ascii="仿宋_GB2312" w:eastAsia="仿宋_GB2312"/>
                <w:sz w:val="18"/>
                <w:szCs w:val="18"/>
              </w:rPr>
              <w:t xml:space="preserve">■两微一端   </w:t>
            </w:r>
            <w:r>
              <w:rPr>
                <w:rFonts w:hint="eastAsia" w:ascii="仿宋_GB2312" w:eastAsia="仿宋_GB2312"/>
                <w:sz w:val="18"/>
                <w:szCs w:val="18"/>
              </w:rPr>
              <w:br w:type="textWrapping"/>
            </w:r>
            <w:r>
              <w:rPr>
                <w:rFonts w:hint="eastAsia" w:ascii="仿宋_GB2312" w:eastAsia="仿宋_GB2312"/>
                <w:sz w:val="18"/>
                <w:szCs w:val="18"/>
              </w:rPr>
              <w:t xml:space="preserve">■广播电视   </w:t>
            </w:r>
            <w:r>
              <w:rPr>
                <w:rFonts w:hint="eastAsia" w:ascii="仿宋_GB2312" w:eastAsia="仿宋_GB2312"/>
                <w:sz w:val="18"/>
                <w:szCs w:val="18"/>
              </w:rPr>
              <w:br w:type="textWrapping"/>
            </w:r>
            <w:r>
              <w:rPr>
                <w:rFonts w:hint="eastAsia" w:ascii="仿宋_GB2312" w:eastAsia="仿宋_GB2312"/>
                <w:sz w:val="18"/>
                <w:szCs w:val="18"/>
              </w:rPr>
              <w:t xml:space="preserve">■公开查阅点 </w:t>
            </w:r>
          </w:p>
        </w:tc>
        <w:tc>
          <w:tcPr>
            <w:tcW w:w="540" w:type="dxa"/>
            <w:tcBorders>
              <w:top w:val="single" w:color="auto" w:sz="4" w:space="0"/>
              <w:left w:val="nil"/>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720" w:type="dxa"/>
            <w:tcBorders>
              <w:top w:val="single" w:color="auto" w:sz="4" w:space="0"/>
              <w:left w:val="nil"/>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r>
              <w:rPr>
                <w:rFonts w:hint="eastAsia" w:ascii="仿宋_GB2312" w:eastAsia="仿宋_GB2312"/>
                <w:sz w:val="18"/>
                <w:szCs w:val="18"/>
              </w:rPr>
              <w:t>　</w:t>
            </w:r>
          </w:p>
        </w:tc>
        <w:tc>
          <w:tcPr>
            <w:tcW w:w="540" w:type="dxa"/>
            <w:tcBorders>
              <w:top w:val="single" w:color="auto" w:sz="4" w:space="0"/>
              <w:left w:val="nil"/>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720" w:type="dxa"/>
            <w:tcBorders>
              <w:top w:val="single" w:color="auto" w:sz="4" w:space="0"/>
              <w:left w:val="nil"/>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r>
              <w:rPr>
                <w:rFonts w:hint="eastAsia" w:ascii="仿宋_GB2312" w:eastAsia="仿宋_GB2312"/>
                <w:sz w:val="18"/>
                <w:szCs w:val="18"/>
              </w:rPr>
              <w:t>　</w:t>
            </w:r>
          </w:p>
        </w:tc>
        <w:tc>
          <w:tcPr>
            <w:tcW w:w="540" w:type="dxa"/>
            <w:tcBorders>
              <w:top w:val="single" w:color="auto" w:sz="4" w:space="0"/>
              <w:left w:val="nil"/>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664" w:type="dxa"/>
            <w:tcBorders>
              <w:top w:val="single" w:color="auto" w:sz="4" w:space="0"/>
              <w:left w:val="nil"/>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p>
        </w:tc>
      </w:tr>
      <w:tr>
        <w:tblPrEx>
          <w:tblLayout w:type="fixed"/>
          <w:tblCellMar>
            <w:top w:w="0" w:type="dxa"/>
            <w:left w:w="108" w:type="dxa"/>
            <w:bottom w:w="0" w:type="dxa"/>
            <w:right w:w="108" w:type="dxa"/>
          </w:tblCellMar>
        </w:tblPrEx>
        <w:trPr>
          <w:trHeight w:val="1086" w:hRule="atLeast"/>
        </w:trPr>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10</w:t>
            </w:r>
          </w:p>
        </w:tc>
        <w:tc>
          <w:tcPr>
            <w:tcW w:w="900" w:type="dxa"/>
            <w:vMerge w:val="continue"/>
            <w:tcBorders>
              <w:left w:val="nil"/>
              <w:right w:val="single" w:color="auto" w:sz="4" w:space="0"/>
            </w:tcBorders>
            <w:shd w:val="clear" w:color="auto" w:fill="auto"/>
            <w:vAlign w:val="center"/>
          </w:tcPr>
          <w:p>
            <w:pPr>
              <w:jc w:val="center"/>
              <w:rPr>
                <w:rFonts w:hint="eastAsia" w:ascii="仿宋_GB2312" w:hAnsi="宋体" w:eastAsia="仿宋_GB2312" w:cs="宋体"/>
                <w:color w:val="000000"/>
                <w:sz w:val="18"/>
                <w:szCs w:val="18"/>
              </w:rPr>
            </w:pPr>
          </w:p>
        </w:tc>
        <w:tc>
          <w:tcPr>
            <w:tcW w:w="1080" w:type="dxa"/>
            <w:tcBorders>
              <w:top w:val="single" w:color="auto" w:sz="4" w:space="0"/>
              <w:left w:val="nil"/>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r>
              <w:rPr>
                <w:rFonts w:hint="eastAsia" w:ascii="仿宋_GB2312" w:eastAsia="仿宋_GB2312"/>
                <w:sz w:val="18"/>
                <w:szCs w:val="18"/>
              </w:rPr>
              <w:t>灾害信息员队伍</w:t>
            </w:r>
          </w:p>
        </w:tc>
        <w:tc>
          <w:tcPr>
            <w:tcW w:w="270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r>
              <w:rPr>
                <w:rFonts w:hint="eastAsia" w:ascii="仿宋_GB2312" w:eastAsia="仿宋_GB2312"/>
                <w:sz w:val="18"/>
                <w:szCs w:val="18"/>
              </w:rPr>
              <w:t>县乡两级灾害信息员工作职责和办公电话</w:t>
            </w:r>
          </w:p>
        </w:tc>
        <w:tc>
          <w:tcPr>
            <w:tcW w:w="1968"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同上</w:t>
            </w:r>
          </w:p>
        </w:tc>
        <w:tc>
          <w:tcPr>
            <w:tcW w:w="216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r>
              <w:rPr>
                <w:rFonts w:hint="eastAsia" w:ascii="仿宋_GB2312" w:eastAsia="仿宋_GB2312"/>
                <w:sz w:val="18"/>
                <w:szCs w:val="18"/>
              </w:rPr>
              <w:t>信息形成或变更之日起20个工作日内</w:t>
            </w:r>
          </w:p>
        </w:tc>
        <w:tc>
          <w:tcPr>
            <w:tcW w:w="109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r>
              <w:rPr>
                <w:rFonts w:hint="eastAsia" w:ascii="仿宋_GB2312" w:eastAsia="仿宋_GB2312"/>
                <w:sz w:val="18"/>
                <w:szCs w:val="18"/>
              </w:rPr>
              <w:t>应急管理部门</w:t>
            </w:r>
          </w:p>
        </w:tc>
        <w:tc>
          <w:tcPr>
            <w:tcW w:w="149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exact"/>
              <w:jc w:val="left"/>
              <w:rPr>
                <w:rFonts w:ascii="仿宋_GB2312" w:eastAsia="仿宋_GB2312"/>
                <w:sz w:val="18"/>
                <w:szCs w:val="18"/>
              </w:rPr>
            </w:pPr>
            <w:r>
              <w:rPr>
                <w:rFonts w:hint="eastAsia" w:ascii="仿宋_GB2312" w:eastAsia="仿宋_GB2312"/>
                <w:sz w:val="18"/>
                <w:szCs w:val="18"/>
              </w:rPr>
              <w:t xml:space="preserve">■政府网站   </w:t>
            </w:r>
            <w:r>
              <w:rPr>
                <w:rFonts w:hint="eastAsia" w:ascii="仿宋_GB2312" w:eastAsia="仿宋_GB2312"/>
                <w:sz w:val="18"/>
                <w:szCs w:val="18"/>
              </w:rPr>
              <w:br w:type="textWrapping"/>
            </w:r>
            <w:r>
              <w:rPr>
                <w:rFonts w:hint="eastAsia" w:ascii="仿宋_GB2312" w:eastAsia="仿宋_GB2312"/>
                <w:sz w:val="18"/>
                <w:szCs w:val="18"/>
              </w:rPr>
              <w:t xml:space="preserve">■两微一端   </w:t>
            </w:r>
            <w:r>
              <w:rPr>
                <w:rFonts w:hint="eastAsia" w:ascii="仿宋_GB2312" w:eastAsia="仿宋_GB2312"/>
                <w:sz w:val="18"/>
                <w:szCs w:val="18"/>
              </w:rPr>
              <w:br w:type="textWrapping"/>
            </w:r>
            <w:r>
              <w:rPr>
                <w:rFonts w:hint="eastAsia" w:ascii="仿宋_GB2312" w:eastAsia="仿宋_GB2312"/>
                <w:sz w:val="18"/>
                <w:szCs w:val="18"/>
              </w:rPr>
              <w:t xml:space="preserve">■广播电视   </w:t>
            </w:r>
            <w:r>
              <w:rPr>
                <w:rFonts w:hint="eastAsia" w:ascii="仿宋_GB2312" w:eastAsia="仿宋_GB2312"/>
                <w:sz w:val="18"/>
                <w:szCs w:val="18"/>
              </w:rPr>
              <w:br w:type="textWrapping"/>
            </w:r>
            <w:r>
              <w:rPr>
                <w:rFonts w:hint="eastAsia" w:ascii="仿宋_GB2312" w:eastAsia="仿宋_GB2312"/>
                <w:sz w:val="18"/>
                <w:szCs w:val="18"/>
              </w:rPr>
              <w:t>■公开查阅点</w:t>
            </w:r>
          </w:p>
        </w:tc>
        <w:tc>
          <w:tcPr>
            <w:tcW w:w="540" w:type="dxa"/>
            <w:tcBorders>
              <w:top w:val="single" w:color="auto" w:sz="4" w:space="0"/>
              <w:left w:val="nil"/>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720" w:type="dxa"/>
            <w:tcBorders>
              <w:top w:val="single" w:color="auto" w:sz="4" w:space="0"/>
              <w:left w:val="nil"/>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r>
              <w:rPr>
                <w:rFonts w:hint="eastAsia" w:ascii="仿宋_GB2312" w:eastAsia="仿宋_GB2312"/>
                <w:sz w:val="18"/>
                <w:szCs w:val="18"/>
              </w:rPr>
              <w:t>　</w:t>
            </w:r>
          </w:p>
        </w:tc>
        <w:tc>
          <w:tcPr>
            <w:tcW w:w="540" w:type="dxa"/>
            <w:tcBorders>
              <w:top w:val="single" w:color="auto" w:sz="4" w:space="0"/>
              <w:left w:val="nil"/>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720" w:type="dxa"/>
            <w:tcBorders>
              <w:top w:val="single" w:color="auto" w:sz="4" w:space="0"/>
              <w:left w:val="nil"/>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r>
              <w:rPr>
                <w:rFonts w:hint="eastAsia" w:ascii="仿宋_GB2312" w:eastAsia="仿宋_GB2312"/>
                <w:sz w:val="18"/>
                <w:szCs w:val="18"/>
              </w:rPr>
              <w:t>　</w:t>
            </w:r>
          </w:p>
        </w:tc>
        <w:tc>
          <w:tcPr>
            <w:tcW w:w="540" w:type="dxa"/>
            <w:tcBorders>
              <w:top w:val="single" w:color="auto" w:sz="4" w:space="0"/>
              <w:left w:val="nil"/>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664" w:type="dxa"/>
            <w:tcBorders>
              <w:top w:val="single" w:color="auto" w:sz="4" w:space="0"/>
              <w:left w:val="nil"/>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r>
              <w:rPr>
                <w:rFonts w:hint="eastAsia" w:ascii="仿宋_GB2312" w:eastAsia="仿宋_GB2312"/>
                <w:sz w:val="18"/>
                <w:szCs w:val="18"/>
              </w:rPr>
              <w:t>　</w:t>
            </w:r>
          </w:p>
        </w:tc>
      </w:tr>
      <w:tr>
        <w:tblPrEx>
          <w:tblLayout w:type="fixed"/>
          <w:tblCellMar>
            <w:top w:w="0" w:type="dxa"/>
            <w:left w:w="108" w:type="dxa"/>
            <w:bottom w:w="0" w:type="dxa"/>
            <w:right w:w="108" w:type="dxa"/>
          </w:tblCellMar>
        </w:tblPrEx>
        <w:trPr>
          <w:trHeight w:val="1030" w:hRule="atLeast"/>
        </w:trPr>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11</w:t>
            </w:r>
          </w:p>
        </w:tc>
        <w:tc>
          <w:tcPr>
            <w:tcW w:w="900" w:type="dxa"/>
            <w:vMerge w:val="continue"/>
            <w:tcBorders>
              <w:left w:val="nil"/>
              <w:bottom w:val="single" w:color="auto" w:sz="4" w:space="0"/>
              <w:right w:val="single" w:color="auto" w:sz="4" w:space="0"/>
            </w:tcBorders>
            <w:shd w:val="clear" w:color="auto" w:fill="auto"/>
            <w:vAlign w:val="center"/>
          </w:tcPr>
          <w:p>
            <w:pPr>
              <w:jc w:val="center"/>
              <w:rPr>
                <w:rFonts w:hint="eastAsia" w:ascii="仿宋_GB2312" w:hAnsi="宋体" w:eastAsia="仿宋_GB2312" w:cs="宋体"/>
                <w:color w:val="000000"/>
                <w:sz w:val="18"/>
                <w:szCs w:val="18"/>
              </w:rPr>
            </w:pPr>
          </w:p>
        </w:tc>
        <w:tc>
          <w:tcPr>
            <w:tcW w:w="1080" w:type="dxa"/>
            <w:tcBorders>
              <w:top w:val="single" w:color="auto" w:sz="4" w:space="0"/>
              <w:left w:val="nil"/>
              <w:bottom w:val="single" w:color="auto" w:sz="4" w:space="0"/>
              <w:right w:val="single" w:color="auto" w:sz="4" w:space="0"/>
            </w:tcBorders>
            <w:shd w:val="clear" w:color="auto" w:fill="auto"/>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预警信息</w:t>
            </w:r>
          </w:p>
        </w:tc>
        <w:tc>
          <w:tcPr>
            <w:tcW w:w="270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气象、地震等单位发布的预警信息</w:t>
            </w:r>
          </w:p>
        </w:tc>
        <w:tc>
          <w:tcPr>
            <w:tcW w:w="1968"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《政府信息公开条例》</w:t>
            </w:r>
          </w:p>
        </w:tc>
        <w:tc>
          <w:tcPr>
            <w:tcW w:w="216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信息形成或变更之日起20个工作日内</w:t>
            </w:r>
          </w:p>
        </w:tc>
        <w:tc>
          <w:tcPr>
            <w:tcW w:w="109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r>
              <w:rPr>
                <w:rFonts w:hint="eastAsia" w:ascii="仿宋_GB2312" w:eastAsia="仿宋_GB2312"/>
                <w:sz w:val="18"/>
                <w:szCs w:val="18"/>
              </w:rPr>
              <w:t>应急管理部门</w:t>
            </w:r>
          </w:p>
        </w:tc>
        <w:tc>
          <w:tcPr>
            <w:tcW w:w="149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exact"/>
              <w:jc w:val="left"/>
              <w:rPr>
                <w:rFonts w:hint="eastAsia" w:ascii="仿宋_GB2312" w:eastAsia="仿宋_GB2312"/>
                <w:sz w:val="18"/>
                <w:szCs w:val="18"/>
              </w:rPr>
            </w:pPr>
            <w:r>
              <w:rPr>
                <w:rFonts w:hint="eastAsia" w:ascii="仿宋_GB2312" w:eastAsia="仿宋_GB2312"/>
                <w:sz w:val="18"/>
                <w:szCs w:val="18"/>
              </w:rPr>
              <w:t>■政府网站</w:t>
            </w:r>
          </w:p>
          <w:p>
            <w:pPr>
              <w:spacing w:line="240" w:lineRule="exact"/>
              <w:jc w:val="left"/>
              <w:rPr>
                <w:rFonts w:ascii="仿宋_GB2312" w:eastAsia="仿宋_GB2312"/>
                <w:sz w:val="18"/>
                <w:szCs w:val="18"/>
              </w:rPr>
            </w:pPr>
            <w:r>
              <w:rPr>
                <w:rFonts w:hint="eastAsia" w:ascii="仿宋_GB2312" w:eastAsia="仿宋_GB2312"/>
                <w:sz w:val="18"/>
                <w:szCs w:val="18"/>
              </w:rPr>
              <w:t xml:space="preserve">■两微一端   </w:t>
            </w:r>
            <w:r>
              <w:rPr>
                <w:rFonts w:hint="eastAsia" w:ascii="仿宋_GB2312" w:eastAsia="仿宋_GB2312"/>
                <w:sz w:val="18"/>
                <w:szCs w:val="18"/>
              </w:rPr>
              <w:br w:type="textWrapping"/>
            </w:r>
            <w:r>
              <w:rPr>
                <w:rFonts w:hint="eastAsia" w:ascii="仿宋_GB2312" w:eastAsia="仿宋_GB2312"/>
                <w:sz w:val="18"/>
                <w:szCs w:val="18"/>
              </w:rPr>
              <w:t xml:space="preserve">■广播电视   </w:t>
            </w:r>
            <w:r>
              <w:rPr>
                <w:rFonts w:hint="eastAsia" w:ascii="仿宋_GB2312" w:eastAsia="仿宋_GB2312"/>
                <w:sz w:val="18"/>
                <w:szCs w:val="18"/>
              </w:rPr>
              <w:br w:type="textWrapping"/>
            </w:r>
            <w:r>
              <w:rPr>
                <w:rFonts w:hint="eastAsia" w:ascii="仿宋_GB2312" w:eastAsia="仿宋_GB2312"/>
                <w:sz w:val="18"/>
                <w:szCs w:val="18"/>
              </w:rPr>
              <w:t>■公开查阅点</w:t>
            </w:r>
          </w:p>
        </w:tc>
        <w:tc>
          <w:tcPr>
            <w:tcW w:w="540" w:type="dxa"/>
            <w:tcBorders>
              <w:top w:val="single" w:color="auto" w:sz="4" w:space="0"/>
              <w:left w:val="nil"/>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720" w:type="dxa"/>
            <w:tcBorders>
              <w:top w:val="single" w:color="auto" w:sz="4" w:space="0"/>
              <w:left w:val="nil"/>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r>
              <w:rPr>
                <w:rFonts w:hint="eastAsia" w:ascii="仿宋_GB2312" w:eastAsia="仿宋_GB2312"/>
                <w:sz w:val="18"/>
                <w:szCs w:val="18"/>
              </w:rPr>
              <w:t>　</w:t>
            </w:r>
          </w:p>
        </w:tc>
        <w:tc>
          <w:tcPr>
            <w:tcW w:w="540" w:type="dxa"/>
            <w:tcBorders>
              <w:top w:val="single" w:color="auto" w:sz="4" w:space="0"/>
              <w:left w:val="nil"/>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720" w:type="dxa"/>
            <w:tcBorders>
              <w:top w:val="single" w:color="auto" w:sz="4" w:space="0"/>
              <w:left w:val="nil"/>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r>
              <w:rPr>
                <w:rFonts w:hint="eastAsia" w:ascii="仿宋_GB2312" w:eastAsia="仿宋_GB2312"/>
                <w:sz w:val="18"/>
                <w:szCs w:val="18"/>
              </w:rPr>
              <w:t>　</w:t>
            </w:r>
          </w:p>
        </w:tc>
        <w:tc>
          <w:tcPr>
            <w:tcW w:w="540" w:type="dxa"/>
            <w:tcBorders>
              <w:top w:val="single" w:color="auto" w:sz="4" w:space="0"/>
              <w:left w:val="nil"/>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664" w:type="dxa"/>
            <w:tcBorders>
              <w:top w:val="single" w:color="auto" w:sz="4" w:space="0"/>
              <w:left w:val="nil"/>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r>
              <w:rPr>
                <w:rFonts w:hint="eastAsia" w:ascii="仿宋_GB2312" w:eastAsia="仿宋_GB2312"/>
                <w:sz w:val="18"/>
                <w:szCs w:val="18"/>
              </w:rPr>
              <w:t>　</w:t>
            </w:r>
          </w:p>
        </w:tc>
      </w:tr>
      <w:tr>
        <w:tblPrEx>
          <w:tblLayout w:type="fixed"/>
          <w:tblCellMar>
            <w:top w:w="0" w:type="dxa"/>
            <w:left w:w="108" w:type="dxa"/>
            <w:bottom w:w="0" w:type="dxa"/>
            <w:right w:w="108" w:type="dxa"/>
          </w:tblCellMar>
        </w:tblPrEx>
        <w:trPr>
          <w:trHeight w:val="1086" w:hRule="atLeast"/>
        </w:trPr>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12</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灾后</w:t>
            </w:r>
          </w:p>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救助</w:t>
            </w:r>
          </w:p>
        </w:tc>
        <w:tc>
          <w:tcPr>
            <w:tcW w:w="1080" w:type="dxa"/>
            <w:tcBorders>
              <w:top w:val="single" w:color="auto" w:sz="4" w:space="0"/>
              <w:left w:val="nil"/>
              <w:bottom w:val="single" w:color="auto" w:sz="4" w:space="0"/>
              <w:right w:val="single" w:color="auto" w:sz="4" w:space="0"/>
            </w:tcBorders>
            <w:shd w:val="clear" w:color="auto" w:fill="auto"/>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灾情核定信息</w:t>
            </w:r>
          </w:p>
        </w:tc>
        <w:tc>
          <w:tcPr>
            <w:tcW w:w="270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本行政区域内因自然灾害造成的损失情况（受灾时间、灾害种类、受灾范围、灾害造成的损失等）</w:t>
            </w:r>
          </w:p>
        </w:tc>
        <w:tc>
          <w:tcPr>
            <w:tcW w:w="1968"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《政府信息公开条例》、《自然灾害救助条例》</w:t>
            </w:r>
          </w:p>
        </w:tc>
        <w:tc>
          <w:tcPr>
            <w:tcW w:w="216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信息形成或变更之日起20个工作日内</w:t>
            </w:r>
          </w:p>
        </w:tc>
        <w:tc>
          <w:tcPr>
            <w:tcW w:w="109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r>
              <w:rPr>
                <w:rFonts w:hint="eastAsia" w:ascii="仿宋_GB2312" w:eastAsia="仿宋_GB2312"/>
                <w:sz w:val="18"/>
                <w:szCs w:val="18"/>
              </w:rPr>
              <w:t>应急管理部门</w:t>
            </w:r>
          </w:p>
        </w:tc>
        <w:tc>
          <w:tcPr>
            <w:tcW w:w="149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exact"/>
              <w:rPr>
                <w:rFonts w:hint="eastAsia" w:ascii="仿宋_GB2312" w:eastAsia="仿宋_GB2312"/>
                <w:sz w:val="18"/>
                <w:szCs w:val="18"/>
              </w:rPr>
            </w:pPr>
            <w:r>
              <w:rPr>
                <w:rFonts w:hint="eastAsia" w:ascii="仿宋_GB2312" w:eastAsia="仿宋_GB2312"/>
                <w:sz w:val="18"/>
                <w:szCs w:val="18"/>
              </w:rPr>
              <w:t xml:space="preserve">■政府网站   </w:t>
            </w:r>
            <w:r>
              <w:rPr>
                <w:rFonts w:hint="eastAsia" w:ascii="仿宋_GB2312" w:eastAsia="仿宋_GB2312"/>
                <w:sz w:val="18"/>
                <w:szCs w:val="18"/>
              </w:rPr>
              <w:br w:type="textWrapping"/>
            </w:r>
            <w:r>
              <w:rPr>
                <w:rFonts w:hint="eastAsia" w:ascii="仿宋_GB2312" w:eastAsia="仿宋_GB2312"/>
                <w:sz w:val="18"/>
                <w:szCs w:val="18"/>
              </w:rPr>
              <w:t xml:space="preserve">■两微一端   </w:t>
            </w:r>
            <w:r>
              <w:rPr>
                <w:rFonts w:hint="eastAsia" w:ascii="仿宋_GB2312" w:eastAsia="仿宋_GB2312"/>
                <w:sz w:val="18"/>
                <w:szCs w:val="18"/>
              </w:rPr>
              <w:br w:type="textWrapping"/>
            </w:r>
            <w:r>
              <w:rPr>
                <w:rFonts w:hint="eastAsia" w:ascii="仿宋_GB2312" w:eastAsia="仿宋_GB2312"/>
                <w:sz w:val="18"/>
                <w:szCs w:val="18"/>
              </w:rPr>
              <w:t>■广播电视</w:t>
            </w:r>
          </w:p>
          <w:p>
            <w:pPr>
              <w:spacing w:line="240" w:lineRule="exact"/>
              <w:rPr>
                <w:rFonts w:ascii="仿宋_GB2312" w:eastAsia="仿宋_GB2312"/>
                <w:sz w:val="18"/>
                <w:szCs w:val="18"/>
              </w:rPr>
            </w:pPr>
            <w:r>
              <w:rPr>
                <w:rFonts w:hint="eastAsia" w:ascii="仿宋_GB2312" w:eastAsia="仿宋_GB2312"/>
                <w:sz w:val="18"/>
                <w:szCs w:val="18"/>
              </w:rPr>
              <w:t>■纸质媒体</w:t>
            </w:r>
            <w:r>
              <w:rPr>
                <w:rFonts w:hint="eastAsia" w:ascii="仿宋_GB2312" w:eastAsia="仿宋_GB2312"/>
                <w:sz w:val="18"/>
                <w:szCs w:val="18"/>
              </w:rPr>
              <w:br w:type="textWrapping"/>
            </w:r>
            <w:r>
              <w:rPr>
                <w:rFonts w:hint="eastAsia" w:ascii="仿宋_GB2312" w:eastAsia="仿宋_GB2312"/>
                <w:sz w:val="18"/>
                <w:szCs w:val="18"/>
              </w:rPr>
              <w:t xml:space="preserve">■公开查阅点 </w:t>
            </w:r>
          </w:p>
        </w:tc>
        <w:tc>
          <w:tcPr>
            <w:tcW w:w="540" w:type="dxa"/>
            <w:tcBorders>
              <w:top w:val="single" w:color="auto" w:sz="4" w:space="0"/>
              <w:left w:val="nil"/>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720" w:type="dxa"/>
            <w:tcBorders>
              <w:top w:val="single" w:color="auto" w:sz="4" w:space="0"/>
              <w:left w:val="nil"/>
              <w:bottom w:val="single" w:color="auto" w:sz="4" w:space="0"/>
              <w:right w:val="single" w:color="auto" w:sz="4" w:space="0"/>
            </w:tcBorders>
            <w:shd w:val="clear" w:color="auto" w:fill="auto"/>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　</w:t>
            </w:r>
          </w:p>
        </w:tc>
        <w:tc>
          <w:tcPr>
            <w:tcW w:w="540" w:type="dxa"/>
            <w:tcBorders>
              <w:top w:val="single" w:color="auto" w:sz="4" w:space="0"/>
              <w:left w:val="nil"/>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720" w:type="dxa"/>
            <w:tcBorders>
              <w:top w:val="single" w:color="auto" w:sz="4" w:space="0"/>
              <w:left w:val="nil"/>
              <w:bottom w:val="single" w:color="auto" w:sz="4" w:space="0"/>
              <w:right w:val="single" w:color="auto" w:sz="4" w:space="0"/>
            </w:tcBorders>
            <w:shd w:val="clear" w:color="auto" w:fill="auto"/>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　</w:t>
            </w:r>
          </w:p>
        </w:tc>
        <w:tc>
          <w:tcPr>
            <w:tcW w:w="540" w:type="dxa"/>
            <w:tcBorders>
              <w:top w:val="single" w:color="auto" w:sz="4" w:space="0"/>
              <w:left w:val="nil"/>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664" w:type="dxa"/>
            <w:tcBorders>
              <w:top w:val="single" w:color="auto" w:sz="4" w:space="0"/>
              <w:left w:val="nil"/>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r>
              <w:rPr>
                <w:rFonts w:hint="eastAsia" w:ascii="仿宋_GB2312" w:eastAsia="仿宋_GB2312"/>
                <w:sz w:val="18"/>
                <w:szCs w:val="18"/>
              </w:rPr>
              <w:t>　</w:t>
            </w:r>
          </w:p>
        </w:tc>
      </w:tr>
      <w:tr>
        <w:tblPrEx>
          <w:tblLayout w:type="fixed"/>
          <w:tblCellMar>
            <w:top w:w="0" w:type="dxa"/>
            <w:left w:w="108" w:type="dxa"/>
            <w:bottom w:w="0" w:type="dxa"/>
            <w:right w:w="108" w:type="dxa"/>
          </w:tblCellMar>
        </w:tblPrEx>
        <w:trPr>
          <w:trHeight w:val="1086" w:hRule="atLeast"/>
        </w:trPr>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13</w:t>
            </w:r>
          </w:p>
        </w:tc>
        <w:tc>
          <w:tcPr>
            <w:tcW w:w="900"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灾后</w:t>
            </w:r>
          </w:p>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救助</w:t>
            </w:r>
          </w:p>
        </w:tc>
        <w:tc>
          <w:tcPr>
            <w:tcW w:w="1080" w:type="dxa"/>
            <w:tcBorders>
              <w:top w:val="single" w:color="auto" w:sz="4" w:space="0"/>
              <w:left w:val="nil"/>
              <w:bottom w:val="single" w:color="auto" w:sz="4" w:space="0"/>
              <w:right w:val="single" w:color="auto" w:sz="4" w:space="0"/>
            </w:tcBorders>
            <w:shd w:val="clear" w:color="auto" w:fill="auto"/>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救助审定信息</w:t>
            </w:r>
          </w:p>
        </w:tc>
        <w:tc>
          <w:tcPr>
            <w:tcW w:w="270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自然灾害救助（6类）的救助对象、申报材料、办理程序及时限等</w:t>
            </w:r>
          </w:p>
        </w:tc>
        <w:tc>
          <w:tcPr>
            <w:tcW w:w="1968"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《政府信息公开条例》、《自然灾害救助条例》</w:t>
            </w:r>
          </w:p>
        </w:tc>
        <w:tc>
          <w:tcPr>
            <w:tcW w:w="216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信息形成或变更之日起20个工作日内</w:t>
            </w:r>
          </w:p>
        </w:tc>
        <w:tc>
          <w:tcPr>
            <w:tcW w:w="109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r>
              <w:rPr>
                <w:rFonts w:hint="eastAsia" w:ascii="仿宋_GB2312" w:eastAsia="仿宋_GB2312"/>
                <w:sz w:val="18"/>
                <w:szCs w:val="18"/>
              </w:rPr>
              <w:t>应急管理部门</w:t>
            </w:r>
          </w:p>
        </w:tc>
        <w:tc>
          <w:tcPr>
            <w:tcW w:w="149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exact"/>
              <w:rPr>
                <w:rFonts w:hint="eastAsia" w:ascii="仿宋_GB2312" w:eastAsia="仿宋_GB2312"/>
                <w:sz w:val="18"/>
                <w:szCs w:val="18"/>
              </w:rPr>
            </w:pPr>
            <w:r>
              <w:rPr>
                <w:rFonts w:hint="eastAsia" w:ascii="仿宋_GB2312" w:eastAsia="仿宋_GB2312"/>
                <w:sz w:val="18"/>
                <w:szCs w:val="18"/>
              </w:rPr>
              <w:t xml:space="preserve">■政府网站   </w:t>
            </w:r>
            <w:r>
              <w:rPr>
                <w:rFonts w:hint="eastAsia" w:ascii="仿宋_GB2312" w:eastAsia="仿宋_GB2312"/>
                <w:sz w:val="18"/>
                <w:szCs w:val="18"/>
              </w:rPr>
              <w:br w:type="textWrapping"/>
            </w:r>
            <w:r>
              <w:rPr>
                <w:rFonts w:hint="eastAsia" w:ascii="仿宋_GB2312" w:eastAsia="仿宋_GB2312"/>
                <w:sz w:val="18"/>
                <w:szCs w:val="18"/>
              </w:rPr>
              <w:t xml:space="preserve">■两微一端   </w:t>
            </w:r>
            <w:r>
              <w:rPr>
                <w:rFonts w:hint="eastAsia" w:ascii="仿宋_GB2312" w:eastAsia="仿宋_GB2312"/>
                <w:sz w:val="18"/>
                <w:szCs w:val="18"/>
              </w:rPr>
              <w:br w:type="textWrapping"/>
            </w:r>
            <w:r>
              <w:rPr>
                <w:rFonts w:hint="eastAsia" w:ascii="仿宋_GB2312" w:eastAsia="仿宋_GB2312"/>
                <w:sz w:val="18"/>
                <w:szCs w:val="18"/>
              </w:rPr>
              <w:t xml:space="preserve">■广播电视   </w:t>
            </w:r>
          </w:p>
          <w:p>
            <w:pPr>
              <w:spacing w:line="240" w:lineRule="exact"/>
              <w:rPr>
                <w:rFonts w:ascii="仿宋_GB2312" w:eastAsia="仿宋_GB2312"/>
                <w:sz w:val="18"/>
                <w:szCs w:val="18"/>
              </w:rPr>
            </w:pPr>
            <w:r>
              <w:rPr>
                <w:rFonts w:hint="eastAsia" w:ascii="仿宋_GB2312" w:eastAsia="仿宋_GB2312"/>
                <w:sz w:val="18"/>
                <w:szCs w:val="18"/>
              </w:rPr>
              <w:t>■纸质媒体</w:t>
            </w:r>
            <w:r>
              <w:rPr>
                <w:rFonts w:hint="eastAsia" w:ascii="仿宋_GB2312" w:eastAsia="仿宋_GB2312"/>
                <w:sz w:val="18"/>
                <w:szCs w:val="18"/>
              </w:rPr>
              <w:br w:type="textWrapping"/>
            </w:r>
            <w:r>
              <w:rPr>
                <w:rFonts w:hint="eastAsia" w:ascii="仿宋_GB2312" w:eastAsia="仿宋_GB2312"/>
                <w:sz w:val="18"/>
                <w:szCs w:val="18"/>
              </w:rPr>
              <w:t xml:space="preserve">■公开查阅点 </w:t>
            </w:r>
          </w:p>
        </w:tc>
        <w:tc>
          <w:tcPr>
            <w:tcW w:w="540" w:type="dxa"/>
            <w:tcBorders>
              <w:top w:val="single" w:color="auto" w:sz="4" w:space="0"/>
              <w:left w:val="nil"/>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720" w:type="dxa"/>
            <w:tcBorders>
              <w:top w:val="single" w:color="auto" w:sz="4" w:space="0"/>
              <w:left w:val="nil"/>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r>
              <w:rPr>
                <w:rFonts w:hint="eastAsia" w:ascii="仿宋_GB2312" w:eastAsia="仿宋_GB2312"/>
                <w:sz w:val="18"/>
                <w:szCs w:val="18"/>
              </w:rPr>
              <w:t>　</w:t>
            </w:r>
          </w:p>
        </w:tc>
        <w:tc>
          <w:tcPr>
            <w:tcW w:w="540" w:type="dxa"/>
            <w:tcBorders>
              <w:top w:val="single" w:color="auto" w:sz="4" w:space="0"/>
              <w:left w:val="nil"/>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r>
              <w:rPr>
                <w:rFonts w:hint="eastAsia" w:ascii="仿宋_GB2312" w:eastAsia="仿宋_GB2312"/>
                <w:sz w:val="18"/>
                <w:szCs w:val="18"/>
              </w:rPr>
              <w:t>　</w:t>
            </w:r>
          </w:p>
        </w:tc>
        <w:tc>
          <w:tcPr>
            <w:tcW w:w="720" w:type="dxa"/>
            <w:tcBorders>
              <w:top w:val="single" w:color="auto" w:sz="4" w:space="0"/>
              <w:left w:val="nil"/>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540" w:type="dxa"/>
            <w:tcBorders>
              <w:top w:val="single" w:color="auto" w:sz="4" w:space="0"/>
              <w:left w:val="nil"/>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664" w:type="dxa"/>
            <w:tcBorders>
              <w:top w:val="single" w:color="auto" w:sz="4" w:space="0"/>
              <w:left w:val="nil"/>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p>
        </w:tc>
      </w:tr>
      <w:tr>
        <w:tblPrEx>
          <w:tblLayout w:type="fixed"/>
          <w:tblCellMar>
            <w:top w:w="0" w:type="dxa"/>
            <w:left w:w="108" w:type="dxa"/>
            <w:bottom w:w="0" w:type="dxa"/>
            <w:right w:w="108" w:type="dxa"/>
          </w:tblCellMar>
        </w:tblPrEx>
        <w:trPr>
          <w:trHeight w:val="1113" w:hRule="atLeast"/>
        </w:trPr>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14</w:t>
            </w:r>
          </w:p>
        </w:tc>
        <w:tc>
          <w:tcPr>
            <w:tcW w:w="900" w:type="dxa"/>
            <w:vMerge w:val="restart"/>
            <w:tcBorders>
              <w:left w:val="nil"/>
              <w:right w:val="single" w:color="auto" w:sz="4" w:space="0"/>
            </w:tcBorders>
            <w:shd w:val="clear" w:color="auto" w:fill="auto"/>
            <w:vAlign w:val="center"/>
          </w:tcPr>
          <w:p>
            <w:pPr>
              <w:jc w:val="center"/>
              <w:rPr>
                <w:rFonts w:hint="eastAsia" w:ascii="仿宋_GB2312" w:eastAsia="仿宋_GB2312"/>
                <w:sz w:val="18"/>
                <w:szCs w:val="18"/>
              </w:rPr>
            </w:pPr>
            <w:r>
              <w:rPr>
                <w:rFonts w:hint="eastAsia" w:ascii="仿宋_GB2312" w:eastAsia="仿宋_GB2312"/>
                <w:sz w:val="18"/>
                <w:szCs w:val="18"/>
              </w:rPr>
              <w:t>灾害</w:t>
            </w:r>
          </w:p>
          <w:p>
            <w:pPr>
              <w:jc w:val="center"/>
              <w:rPr>
                <w:rFonts w:ascii="仿宋_GB2312" w:hAnsi="宋体" w:eastAsia="仿宋_GB2312" w:cs="宋体"/>
                <w:sz w:val="18"/>
                <w:szCs w:val="18"/>
              </w:rPr>
            </w:pPr>
            <w:r>
              <w:rPr>
                <w:rFonts w:hint="eastAsia" w:ascii="仿宋_GB2312" w:eastAsia="仿宋_GB2312"/>
                <w:sz w:val="18"/>
                <w:szCs w:val="18"/>
              </w:rPr>
              <w:t>救助</w:t>
            </w:r>
          </w:p>
        </w:tc>
        <w:tc>
          <w:tcPr>
            <w:tcW w:w="1080" w:type="dxa"/>
            <w:tcBorders>
              <w:top w:val="single" w:color="auto" w:sz="4" w:space="0"/>
              <w:left w:val="nil"/>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r>
              <w:rPr>
                <w:rFonts w:hint="eastAsia" w:ascii="仿宋_GB2312" w:eastAsia="仿宋_GB2312"/>
                <w:sz w:val="18"/>
                <w:szCs w:val="18"/>
              </w:rPr>
              <w:t>应急管理部门审批</w:t>
            </w:r>
          </w:p>
        </w:tc>
        <w:tc>
          <w:tcPr>
            <w:tcW w:w="270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救助款物通知及划拨情况</w:t>
            </w:r>
          </w:p>
        </w:tc>
        <w:tc>
          <w:tcPr>
            <w:tcW w:w="1968"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《政府信息公开条例》、《自然灾害救助条例》</w:t>
            </w:r>
          </w:p>
        </w:tc>
        <w:tc>
          <w:tcPr>
            <w:tcW w:w="216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信息形成或变更之日起20个工作日内</w:t>
            </w:r>
          </w:p>
        </w:tc>
        <w:tc>
          <w:tcPr>
            <w:tcW w:w="109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r>
              <w:rPr>
                <w:rFonts w:hint="eastAsia" w:ascii="仿宋_GB2312" w:eastAsia="仿宋_GB2312"/>
                <w:sz w:val="18"/>
                <w:szCs w:val="18"/>
              </w:rPr>
              <w:t>应急管理部门</w:t>
            </w:r>
          </w:p>
        </w:tc>
        <w:tc>
          <w:tcPr>
            <w:tcW w:w="149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exact"/>
              <w:rPr>
                <w:rFonts w:hint="eastAsia" w:ascii="仿宋_GB2312" w:eastAsia="仿宋_GB2312"/>
                <w:sz w:val="18"/>
                <w:szCs w:val="18"/>
              </w:rPr>
            </w:pPr>
            <w:r>
              <w:rPr>
                <w:rFonts w:hint="eastAsia" w:ascii="仿宋_GB2312" w:eastAsia="仿宋_GB2312"/>
                <w:sz w:val="18"/>
                <w:szCs w:val="18"/>
              </w:rPr>
              <w:t xml:space="preserve">■政府网站   </w:t>
            </w:r>
            <w:r>
              <w:rPr>
                <w:rFonts w:hint="eastAsia" w:ascii="仿宋_GB2312" w:eastAsia="仿宋_GB2312"/>
                <w:sz w:val="18"/>
                <w:szCs w:val="18"/>
              </w:rPr>
              <w:br w:type="textWrapping"/>
            </w:r>
            <w:r>
              <w:rPr>
                <w:rFonts w:hint="eastAsia" w:ascii="仿宋_GB2312" w:eastAsia="仿宋_GB2312"/>
                <w:sz w:val="18"/>
                <w:szCs w:val="18"/>
              </w:rPr>
              <w:t xml:space="preserve">■两微一端   </w:t>
            </w:r>
            <w:r>
              <w:rPr>
                <w:rFonts w:hint="eastAsia" w:ascii="仿宋_GB2312" w:eastAsia="仿宋_GB2312"/>
                <w:sz w:val="18"/>
                <w:szCs w:val="18"/>
              </w:rPr>
              <w:br w:type="textWrapping"/>
            </w:r>
            <w:r>
              <w:rPr>
                <w:rFonts w:hint="eastAsia" w:ascii="仿宋_GB2312" w:eastAsia="仿宋_GB2312"/>
                <w:sz w:val="18"/>
                <w:szCs w:val="18"/>
              </w:rPr>
              <w:t xml:space="preserve">■广播电视   </w:t>
            </w:r>
          </w:p>
          <w:p>
            <w:pPr>
              <w:spacing w:line="240" w:lineRule="exact"/>
              <w:rPr>
                <w:rFonts w:ascii="仿宋_GB2312" w:eastAsia="仿宋_GB2312"/>
                <w:sz w:val="18"/>
                <w:szCs w:val="18"/>
              </w:rPr>
            </w:pPr>
            <w:r>
              <w:rPr>
                <w:rFonts w:hint="eastAsia" w:ascii="仿宋_GB2312" w:eastAsia="仿宋_GB2312"/>
                <w:sz w:val="18"/>
                <w:szCs w:val="18"/>
              </w:rPr>
              <w:t>■纸质媒体</w:t>
            </w:r>
            <w:r>
              <w:rPr>
                <w:rFonts w:hint="eastAsia" w:ascii="仿宋_GB2312" w:eastAsia="仿宋_GB2312"/>
                <w:sz w:val="18"/>
                <w:szCs w:val="18"/>
              </w:rPr>
              <w:br w:type="textWrapping"/>
            </w:r>
            <w:r>
              <w:rPr>
                <w:rFonts w:hint="eastAsia" w:ascii="仿宋_GB2312" w:eastAsia="仿宋_GB2312"/>
                <w:sz w:val="18"/>
                <w:szCs w:val="18"/>
              </w:rPr>
              <w:t>■公开查阅点</w:t>
            </w:r>
          </w:p>
        </w:tc>
        <w:tc>
          <w:tcPr>
            <w:tcW w:w="540" w:type="dxa"/>
            <w:tcBorders>
              <w:top w:val="single" w:color="auto" w:sz="4" w:space="0"/>
              <w:left w:val="nil"/>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720" w:type="dxa"/>
            <w:tcBorders>
              <w:top w:val="single" w:color="auto" w:sz="4" w:space="0"/>
              <w:left w:val="nil"/>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r>
              <w:rPr>
                <w:rFonts w:hint="eastAsia" w:ascii="仿宋_GB2312" w:eastAsia="仿宋_GB2312"/>
                <w:sz w:val="18"/>
                <w:szCs w:val="18"/>
              </w:rPr>
              <w:t>　</w:t>
            </w:r>
          </w:p>
        </w:tc>
        <w:tc>
          <w:tcPr>
            <w:tcW w:w="540" w:type="dxa"/>
            <w:tcBorders>
              <w:top w:val="single" w:color="auto" w:sz="4" w:space="0"/>
              <w:left w:val="nil"/>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720" w:type="dxa"/>
            <w:tcBorders>
              <w:top w:val="single" w:color="auto" w:sz="4" w:space="0"/>
              <w:left w:val="nil"/>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r>
              <w:rPr>
                <w:rFonts w:hint="eastAsia" w:ascii="仿宋_GB2312" w:eastAsia="仿宋_GB2312"/>
                <w:sz w:val="18"/>
                <w:szCs w:val="18"/>
              </w:rPr>
              <w:t>　</w:t>
            </w:r>
          </w:p>
        </w:tc>
        <w:tc>
          <w:tcPr>
            <w:tcW w:w="540" w:type="dxa"/>
            <w:tcBorders>
              <w:top w:val="single" w:color="auto" w:sz="4" w:space="0"/>
              <w:left w:val="nil"/>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664" w:type="dxa"/>
            <w:tcBorders>
              <w:top w:val="single" w:color="auto" w:sz="4" w:space="0"/>
              <w:left w:val="nil"/>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p>
        </w:tc>
      </w:tr>
      <w:tr>
        <w:tblPrEx>
          <w:tblLayout w:type="fixed"/>
          <w:tblCellMar>
            <w:top w:w="0" w:type="dxa"/>
            <w:left w:w="108" w:type="dxa"/>
            <w:bottom w:w="0" w:type="dxa"/>
            <w:right w:w="108" w:type="dxa"/>
          </w:tblCellMar>
        </w:tblPrEx>
        <w:trPr>
          <w:trHeight w:val="2403" w:hRule="atLeast"/>
        </w:trPr>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15</w:t>
            </w:r>
          </w:p>
        </w:tc>
        <w:tc>
          <w:tcPr>
            <w:tcW w:w="900" w:type="dxa"/>
            <w:vMerge w:val="continue"/>
            <w:tcBorders>
              <w:left w:val="nil"/>
              <w:bottom w:val="single" w:color="auto" w:sz="4" w:space="0"/>
              <w:right w:val="single" w:color="auto" w:sz="4" w:space="0"/>
            </w:tcBorders>
            <w:shd w:val="clear" w:color="auto" w:fill="auto"/>
            <w:vAlign w:val="center"/>
          </w:tcPr>
          <w:p>
            <w:pPr>
              <w:jc w:val="center"/>
              <w:rPr>
                <w:rFonts w:ascii="仿宋_GB2312" w:hAnsi="宋体" w:eastAsia="仿宋_GB2312" w:cs="宋体"/>
                <w:sz w:val="18"/>
                <w:szCs w:val="18"/>
              </w:rPr>
            </w:pPr>
          </w:p>
        </w:tc>
        <w:tc>
          <w:tcPr>
            <w:tcW w:w="1080" w:type="dxa"/>
            <w:tcBorders>
              <w:top w:val="single" w:color="auto" w:sz="4" w:space="0"/>
              <w:left w:val="nil"/>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r>
              <w:rPr>
                <w:rFonts w:hint="eastAsia" w:ascii="仿宋_GB2312" w:eastAsia="仿宋_GB2312"/>
                <w:sz w:val="18"/>
                <w:szCs w:val="18"/>
              </w:rPr>
              <w:t>因灾过渡期生活救助</w:t>
            </w:r>
          </w:p>
        </w:tc>
        <w:tc>
          <w:tcPr>
            <w:tcW w:w="270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r>
              <w:rPr>
                <w:rFonts w:hint="eastAsia" w:ascii="仿宋_GB2312" w:eastAsia="仿宋_GB2312"/>
                <w:sz w:val="18"/>
                <w:szCs w:val="18"/>
              </w:rPr>
              <w:t>因灾过渡期生活救助标准、过渡期生活救助对象评议结果公示（灾民姓名、受灾情况、拟救助金额、监督举报电话）                                         过渡期生活救助对象确定（灾民姓名、受灾情况、救助金额、监督举报电话)</w:t>
            </w:r>
          </w:p>
        </w:tc>
        <w:tc>
          <w:tcPr>
            <w:tcW w:w="1968"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《政府信息公开条例》、《自然灾害救助条例》</w:t>
            </w:r>
          </w:p>
        </w:tc>
        <w:tc>
          <w:tcPr>
            <w:tcW w:w="216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信息形成或变更之日起20个工作日内</w:t>
            </w:r>
          </w:p>
        </w:tc>
        <w:tc>
          <w:tcPr>
            <w:tcW w:w="109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r>
              <w:rPr>
                <w:rFonts w:hint="eastAsia" w:ascii="仿宋_GB2312" w:eastAsia="仿宋_GB2312"/>
                <w:sz w:val="18"/>
                <w:szCs w:val="18"/>
              </w:rPr>
              <w:t>应急管理部门</w:t>
            </w:r>
          </w:p>
        </w:tc>
        <w:tc>
          <w:tcPr>
            <w:tcW w:w="149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exact"/>
              <w:rPr>
                <w:rFonts w:hint="eastAsia" w:ascii="仿宋_GB2312" w:eastAsia="仿宋_GB2312"/>
                <w:sz w:val="18"/>
                <w:szCs w:val="18"/>
              </w:rPr>
            </w:pPr>
            <w:r>
              <w:rPr>
                <w:rFonts w:hint="eastAsia" w:ascii="仿宋_GB2312" w:eastAsia="仿宋_GB2312"/>
                <w:sz w:val="18"/>
                <w:szCs w:val="18"/>
              </w:rPr>
              <w:t xml:space="preserve">■政府网站   </w:t>
            </w:r>
            <w:r>
              <w:rPr>
                <w:rFonts w:hint="eastAsia" w:ascii="仿宋_GB2312" w:eastAsia="仿宋_GB2312"/>
                <w:sz w:val="18"/>
                <w:szCs w:val="18"/>
              </w:rPr>
              <w:br w:type="textWrapping"/>
            </w:r>
            <w:r>
              <w:rPr>
                <w:rFonts w:hint="eastAsia" w:ascii="仿宋_GB2312" w:eastAsia="仿宋_GB2312"/>
                <w:sz w:val="18"/>
                <w:szCs w:val="18"/>
              </w:rPr>
              <w:t xml:space="preserve">■两微一端   </w:t>
            </w:r>
            <w:r>
              <w:rPr>
                <w:rFonts w:hint="eastAsia" w:ascii="仿宋_GB2312" w:eastAsia="仿宋_GB2312"/>
                <w:sz w:val="18"/>
                <w:szCs w:val="18"/>
              </w:rPr>
              <w:br w:type="textWrapping"/>
            </w:r>
            <w:r>
              <w:rPr>
                <w:rFonts w:hint="eastAsia" w:ascii="仿宋_GB2312" w:eastAsia="仿宋_GB2312"/>
                <w:sz w:val="18"/>
                <w:szCs w:val="18"/>
              </w:rPr>
              <w:t xml:space="preserve">■广播电视   </w:t>
            </w:r>
          </w:p>
          <w:p>
            <w:pPr>
              <w:spacing w:line="240" w:lineRule="exact"/>
              <w:rPr>
                <w:rFonts w:ascii="仿宋_GB2312" w:eastAsia="仿宋_GB2312"/>
                <w:sz w:val="18"/>
                <w:szCs w:val="18"/>
              </w:rPr>
            </w:pPr>
            <w:r>
              <w:rPr>
                <w:rFonts w:hint="eastAsia" w:ascii="仿宋_GB2312" w:eastAsia="仿宋_GB2312"/>
                <w:sz w:val="18"/>
                <w:szCs w:val="18"/>
              </w:rPr>
              <w:t>■纸质媒体</w:t>
            </w:r>
            <w:r>
              <w:rPr>
                <w:rFonts w:hint="eastAsia" w:ascii="仿宋_GB2312" w:eastAsia="仿宋_GB2312"/>
                <w:sz w:val="18"/>
                <w:szCs w:val="18"/>
              </w:rPr>
              <w:br w:type="textWrapping"/>
            </w:r>
            <w:r>
              <w:rPr>
                <w:rFonts w:hint="eastAsia" w:ascii="仿宋_GB2312" w:eastAsia="仿宋_GB2312"/>
                <w:sz w:val="18"/>
                <w:szCs w:val="18"/>
              </w:rPr>
              <w:t>■公开查阅点</w:t>
            </w:r>
          </w:p>
        </w:tc>
        <w:tc>
          <w:tcPr>
            <w:tcW w:w="540" w:type="dxa"/>
            <w:tcBorders>
              <w:top w:val="single" w:color="auto" w:sz="4" w:space="0"/>
              <w:left w:val="nil"/>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720" w:type="dxa"/>
            <w:tcBorders>
              <w:top w:val="single" w:color="auto" w:sz="4" w:space="0"/>
              <w:left w:val="nil"/>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r>
              <w:rPr>
                <w:rFonts w:hint="eastAsia" w:ascii="仿宋_GB2312" w:eastAsia="仿宋_GB2312"/>
                <w:sz w:val="18"/>
                <w:szCs w:val="18"/>
              </w:rPr>
              <w:t>　</w:t>
            </w:r>
          </w:p>
        </w:tc>
        <w:tc>
          <w:tcPr>
            <w:tcW w:w="540" w:type="dxa"/>
            <w:tcBorders>
              <w:top w:val="single" w:color="auto" w:sz="4" w:space="0"/>
              <w:left w:val="nil"/>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720" w:type="dxa"/>
            <w:tcBorders>
              <w:top w:val="single" w:color="auto" w:sz="4" w:space="0"/>
              <w:left w:val="nil"/>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r>
              <w:rPr>
                <w:rFonts w:hint="eastAsia" w:ascii="仿宋_GB2312" w:eastAsia="仿宋_GB2312"/>
                <w:sz w:val="18"/>
                <w:szCs w:val="18"/>
              </w:rPr>
              <w:t>　</w:t>
            </w:r>
          </w:p>
        </w:tc>
        <w:tc>
          <w:tcPr>
            <w:tcW w:w="540" w:type="dxa"/>
            <w:tcBorders>
              <w:top w:val="single" w:color="auto" w:sz="4" w:space="0"/>
              <w:left w:val="nil"/>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664" w:type="dxa"/>
            <w:tcBorders>
              <w:top w:val="single" w:color="auto" w:sz="4" w:space="0"/>
              <w:left w:val="nil"/>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p>
        </w:tc>
      </w:tr>
      <w:tr>
        <w:tblPrEx>
          <w:tblLayout w:type="fixed"/>
          <w:tblCellMar>
            <w:top w:w="0" w:type="dxa"/>
            <w:left w:w="108" w:type="dxa"/>
            <w:bottom w:w="0" w:type="dxa"/>
            <w:right w:w="108" w:type="dxa"/>
          </w:tblCellMar>
        </w:tblPrEx>
        <w:trPr>
          <w:trHeight w:val="1086" w:hRule="atLeast"/>
        </w:trPr>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1</w:t>
            </w:r>
            <w:r>
              <w:rPr>
                <w:rFonts w:hint="eastAsia" w:ascii="仿宋_GB2312" w:hAnsi="宋体" w:eastAsia="仿宋_GB2312" w:cs="宋体"/>
                <w:color w:val="000000"/>
                <w:sz w:val="18"/>
                <w:szCs w:val="18"/>
                <w:lang w:val="en-US" w:eastAsia="zh-CN"/>
              </w:rPr>
              <w:t>6</w:t>
            </w:r>
          </w:p>
        </w:tc>
        <w:tc>
          <w:tcPr>
            <w:tcW w:w="900" w:type="dxa"/>
            <w:tcBorders>
              <w:left w:val="nil"/>
              <w:bottom w:val="single" w:color="auto" w:sz="4" w:space="0"/>
              <w:right w:val="single" w:color="auto" w:sz="4" w:space="0"/>
            </w:tcBorders>
            <w:shd w:val="clear" w:color="auto" w:fill="auto"/>
            <w:vAlign w:val="center"/>
          </w:tcPr>
          <w:p>
            <w:pPr>
              <w:jc w:val="center"/>
              <w:rPr>
                <w:rFonts w:hint="eastAsia" w:ascii="仿宋_GB2312" w:eastAsia="仿宋_GB2312"/>
                <w:sz w:val="18"/>
                <w:szCs w:val="18"/>
              </w:rPr>
            </w:pPr>
            <w:r>
              <w:rPr>
                <w:rFonts w:hint="eastAsia" w:ascii="仿宋_GB2312" w:eastAsia="仿宋_GB2312"/>
                <w:sz w:val="18"/>
                <w:szCs w:val="18"/>
              </w:rPr>
              <w:t>款物</w:t>
            </w:r>
          </w:p>
          <w:p>
            <w:pPr>
              <w:jc w:val="center"/>
              <w:rPr>
                <w:rFonts w:hint="eastAsia" w:ascii="仿宋_GB2312" w:hAnsi="宋体" w:eastAsia="仿宋_GB2312" w:cs="宋体"/>
                <w:color w:val="000000"/>
                <w:sz w:val="18"/>
                <w:szCs w:val="18"/>
              </w:rPr>
            </w:pPr>
            <w:r>
              <w:rPr>
                <w:rFonts w:hint="eastAsia" w:ascii="仿宋_GB2312" w:eastAsia="仿宋_GB2312"/>
                <w:sz w:val="18"/>
                <w:szCs w:val="18"/>
              </w:rPr>
              <w:t>管理</w:t>
            </w:r>
          </w:p>
        </w:tc>
        <w:tc>
          <w:tcPr>
            <w:tcW w:w="1080" w:type="dxa"/>
            <w:tcBorders>
              <w:top w:val="single" w:color="auto" w:sz="4" w:space="0"/>
              <w:left w:val="nil"/>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r>
              <w:rPr>
                <w:rFonts w:hint="eastAsia" w:ascii="仿宋_GB2312" w:eastAsia="仿宋_GB2312"/>
                <w:sz w:val="18"/>
                <w:szCs w:val="18"/>
              </w:rPr>
              <w:t>年度款物使用情况</w:t>
            </w:r>
          </w:p>
        </w:tc>
        <w:tc>
          <w:tcPr>
            <w:tcW w:w="270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r>
              <w:rPr>
                <w:rFonts w:hint="eastAsia" w:ascii="仿宋_GB2312" w:eastAsia="仿宋_GB2312"/>
                <w:sz w:val="18"/>
                <w:szCs w:val="18"/>
              </w:rPr>
              <w:t>年度救灾资金和救灾物资等使用情况</w:t>
            </w:r>
          </w:p>
        </w:tc>
        <w:tc>
          <w:tcPr>
            <w:tcW w:w="1968"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r>
              <w:rPr>
                <w:rFonts w:hint="eastAsia" w:ascii="仿宋_GB2312" w:eastAsia="仿宋_GB2312"/>
                <w:sz w:val="18"/>
                <w:szCs w:val="18"/>
              </w:rPr>
              <w:t>《政府信息公开条例》</w:t>
            </w:r>
          </w:p>
        </w:tc>
        <w:tc>
          <w:tcPr>
            <w:tcW w:w="216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r>
              <w:rPr>
                <w:rFonts w:hint="eastAsia" w:ascii="仿宋_GB2312" w:eastAsia="仿宋_GB2312"/>
                <w:sz w:val="18"/>
                <w:szCs w:val="18"/>
              </w:rPr>
              <w:t>按进展情况及时公开</w:t>
            </w:r>
          </w:p>
        </w:tc>
        <w:tc>
          <w:tcPr>
            <w:tcW w:w="109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r>
              <w:rPr>
                <w:rFonts w:hint="eastAsia" w:ascii="仿宋_GB2312" w:eastAsia="仿宋_GB2312"/>
                <w:sz w:val="18"/>
                <w:szCs w:val="18"/>
              </w:rPr>
              <w:t>应急管理部门</w:t>
            </w:r>
          </w:p>
        </w:tc>
        <w:tc>
          <w:tcPr>
            <w:tcW w:w="149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exact"/>
              <w:rPr>
                <w:rFonts w:hint="eastAsia" w:ascii="仿宋_GB2312" w:eastAsia="仿宋_GB2312"/>
                <w:sz w:val="18"/>
                <w:szCs w:val="18"/>
              </w:rPr>
            </w:pPr>
            <w:r>
              <w:rPr>
                <w:rFonts w:hint="eastAsia" w:ascii="仿宋_GB2312" w:eastAsia="仿宋_GB2312"/>
                <w:sz w:val="18"/>
                <w:szCs w:val="18"/>
              </w:rPr>
              <w:t xml:space="preserve">■政府网站   </w:t>
            </w:r>
            <w:r>
              <w:rPr>
                <w:rFonts w:hint="eastAsia" w:ascii="仿宋_GB2312" w:eastAsia="仿宋_GB2312"/>
                <w:sz w:val="18"/>
                <w:szCs w:val="18"/>
              </w:rPr>
              <w:br w:type="textWrapping"/>
            </w:r>
            <w:r>
              <w:rPr>
                <w:rFonts w:hint="eastAsia" w:ascii="仿宋_GB2312" w:eastAsia="仿宋_GB2312"/>
                <w:sz w:val="18"/>
                <w:szCs w:val="18"/>
              </w:rPr>
              <w:t xml:space="preserve">■两微一端   </w:t>
            </w:r>
            <w:r>
              <w:rPr>
                <w:rFonts w:hint="eastAsia" w:ascii="仿宋_GB2312" w:eastAsia="仿宋_GB2312"/>
                <w:sz w:val="18"/>
                <w:szCs w:val="18"/>
              </w:rPr>
              <w:br w:type="textWrapping"/>
            </w:r>
            <w:r>
              <w:rPr>
                <w:rFonts w:hint="eastAsia" w:ascii="仿宋_GB2312" w:eastAsia="仿宋_GB2312"/>
                <w:sz w:val="18"/>
                <w:szCs w:val="18"/>
              </w:rPr>
              <w:t xml:space="preserve">■广播电视   </w:t>
            </w:r>
          </w:p>
          <w:p>
            <w:pPr>
              <w:spacing w:line="240" w:lineRule="exact"/>
              <w:rPr>
                <w:rFonts w:ascii="仿宋_GB2312" w:eastAsia="仿宋_GB2312"/>
                <w:sz w:val="18"/>
                <w:szCs w:val="18"/>
              </w:rPr>
            </w:pPr>
            <w:r>
              <w:rPr>
                <w:rFonts w:hint="eastAsia" w:ascii="仿宋_GB2312" w:eastAsia="仿宋_GB2312"/>
                <w:sz w:val="18"/>
                <w:szCs w:val="18"/>
              </w:rPr>
              <w:t>■纸质媒体</w:t>
            </w:r>
            <w:r>
              <w:rPr>
                <w:rFonts w:hint="eastAsia" w:ascii="仿宋_GB2312" w:eastAsia="仿宋_GB2312"/>
                <w:sz w:val="18"/>
                <w:szCs w:val="18"/>
              </w:rPr>
              <w:br w:type="textWrapping"/>
            </w:r>
            <w:r>
              <w:rPr>
                <w:rFonts w:hint="eastAsia" w:ascii="仿宋_GB2312" w:eastAsia="仿宋_GB2312"/>
                <w:sz w:val="18"/>
                <w:szCs w:val="18"/>
              </w:rPr>
              <w:t>■公开查阅点</w:t>
            </w:r>
          </w:p>
        </w:tc>
        <w:tc>
          <w:tcPr>
            <w:tcW w:w="540" w:type="dxa"/>
            <w:tcBorders>
              <w:top w:val="single" w:color="auto" w:sz="4" w:space="0"/>
              <w:left w:val="nil"/>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720" w:type="dxa"/>
            <w:tcBorders>
              <w:top w:val="single" w:color="auto" w:sz="4" w:space="0"/>
              <w:left w:val="nil"/>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r>
              <w:rPr>
                <w:rFonts w:hint="eastAsia" w:ascii="仿宋_GB2312" w:eastAsia="仿宋_GB2312"/>
                <w:sz w:val="18"/>
                <w:szCs w:val="18"/>
              </w:rPr>
              <w:t>　</w:t>
            </w:r>
          </w:p>
        </w:tc>
        <w:tc>
          <w:tcPr>
            <w:tcW w:w="540" w:type="dxa"/>
            <w:tcBorders>
              <w:top w:val="single" w:color="auto" w:sz="4" w:space="0"/>
              <w:left w:val="nil"/>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720" w:type="dxa"/>
            <w:tcBorders>
              <w:top w:val="single" w:color="auto" w:sz="4" w:space="0"/>
              <w:left w:val="nil"/>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r>
              <w:rPr>
                <w:rFonts w:hint="eastAsia" w:ascii="仿宋_GB2312" w:eastAsia="仿宋_GB2312"/>
                <w:sz w:val="18"/>
                <w:szCs w:val="18"/>
              </w:rPr>
              <w:t>　</w:t>
            </w:r>
          </w:p>
        </w:tc>
        <w:tc>
          <w:tcPr>
            <w:tcW w:w="540" w:type="dxa"/>
            <w:tcBorders>
              <w:top w:val="single" w:color="auto" w:sz="4" w:space="0"/>
              <w:left w:val="nil"/>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664" w:type="dxa"/>
            <w:tcBorders>
              <w:top w:val="single" w:color="auto" w:sz="4" w:space="0"/>
              <w:left w:val="nil"/>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p>
        </w:tc>
      </w:tr>
      <w:tr>
        <w:tblPrEx>
          <w:tblLayout w:type="fixed"/>
          <w:tblCellMar>
            <w:top w:w="0" w:type="dxa"/>
            <w:left w:w="108" w:type="dxa"/>
            <w:bottom w:w="0" w:type="dxa"/>
            <w:right w:w="108" w:type="dxa"/>
          </w:tblCellMar>
        </w:tblPrEx>
        <w:trPr>
          <w:trHeight w:val="1086" w:hRule="atLeast"/>
        </w:trPr>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仿宋_GB2312" w:hAnsi="宋体" w:eastAsia="仿宋_GB2312" w:cs="宋体"/>
                <w:color w:val="000000"/>
                <w:sz w:val="18"/>
                <w:szCs w:val="18"/>
                <w:lang w:eastAsia="zh-CN"/>
              </w:rPr>
            </w:pPr>
            <w:r>
              <w:rPr>
                <w:rFonts w:hint="eastAsia" w:ascii="仿宋_GB2312" w:hAnsi="宋体" w:eastAsia="仿宋_GB2312" w:cs="宋体"/>
                <w:color w:val="000000"/>
                <w:sz w:val="18"/>
                <w:szCs w:val="18"/>
                <w:lang w:val="en-US" w:eastAsia="zh-CN"/>
              </w:rPr>
              <w:t>17</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仿宋_GB2312" w:eastAsia="仿宋_GB2312"/>
                <w:color w:val="000000"/>
                <w:sz w:val="18"/>
                <w:szCs w:val="18"/>
              </w:rPr>
            </w:pPr>
            <w:r>
              <w:rPr>
                <w:rFonts w:hint="eastAsia" w:ascii="仿宋_GB2312" w:eastAsia="仿宋_GB2312"/>
                <w:color w:val="000000"/>
                <w:sz w:val="18"/>
                <w:szCs w:val="18"/>
              </w:rPr>
              <w:t>工作</w:t>
            </w:r>
          </w:p>
          <w:p>
            <w:pPr>
              <w:jc w:val="center"/>
              <w:rPr>
                <w:rFonts w:hint="eastAsia" w:ascii="仿宋_GB2312" w:hAnsi="宋体" w:eastAsia="仿宋_GB2312" w:cs="宋体"/>
                <w:color w:val="000000"/>
                <w:sz w:val="18"/>
                <w:szCs w:val="18"/>
              </w:rPr>
            </w:pPr>
            <w:r>
              <w:rPr>
                <w:rFonts w:hint="eastAsia" w:ascii="仿宋_GB2312" w:eastAsia="仿宋_GB2312"/>
                <w:color w:val="000000"/>
                <w:sz w:val="18"/>
                <w:szCs w:val="18"/>
              </w:rPr>
              <w:t>动态</w:t>
            </w:r>
          </w:p>
        </w:tc>
        <w:tc>
          <w:tcPr>
            <w:tcW w:w="1080" w:type="dxa"/>
            <w:tcBorders>
              <w:top w:val="single" w:color="auto" w:sz="4" w:space="0"/>
              <w:left w:val="nil"/>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r>
              <w:rPr>
                <w:rFonts w:hint="eastAsia" w:ascii="仿宋_GB2312" w:eastAsia="仿宋_GB2312"/>
                <w:sz w:val="18"/>
                <w:szCs w:val="18"/>
              </w:rPr>
              <w:t>工作信息</w:t>
            </w:r>
          </w:p>
        </w:tc>
        <w:tc>
          <w:tcPr>
            <w:tcW w:w="270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r>
              <w:rPr>
                <w:rFonts w:hint="eastAsia" w:ascii="仿宋_GB2312" w:eastAsia="仿宋_GB2312"/>
                <w:sz w:val="18"/>
                <w:szCs w:val="18"/>
              </w:rPr>
              <w:t>防灾减灾救灾其他相关动态信息</w:t>
            </w:r>
          </w:p>
        </w:tc>
        <w:tc>
          <w:tcPr>
            <w:tcW w:w="1968"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r>
              <w:rPr>
                <w:rFonts w:hint="eastAsia" w:ascii="仿宋_GB2312" w:eastAsia="仿宋_GB2312"/>
                <w:sz w:val="18"/>
                <w:szCs w:val="18"/>
              </w:rPr>
              <w:t>《政府信息公开条例》</w:t>
            </w:r>
          </w:p>
        </w:tc>
        <w:tc>
          <w:tcPr>
            <w:tcW w:w="216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r>
              <w:rPr>
                <w:rFonts w:hint="eastAsia" w:ascii="仿宋_GB2312" w:eastAsia="仿宋_GB2312"/>
                <w:sz w:val="18"/>
                <w:szCs w:val="18"/>
              </w:rPr>
              <w:t>按进展情况及时公开</w:t>
            </w:r>
          </w:p>
        </w:tc>
        <w:tc>
          <w:tcPr>
            <w:tcW w:w="109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r>
              <w:rPr>
                <w:rFonts w:hint="eastAsia" w:ascii="仿宋_GB2312" w:eastAsia="仿宋_GB2312"/>
                <w:sz w:val="18"/>
                <w:szCs w:val="18"/>
              </w:rPr>
              <w:t>应急管理部门</w:t>
            </w:r>
          </w:p>
        </w:tc>
        <w:tc>
          <w:tcPr>
            <w:tcW w:w="149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exact"/>
              <w:rPr>
                <w:rFonts w:hint="eastAsia" w:ascii="仿宋_GB2312" w:eastAsia="仿宋_GB2312"/>
                <w:sz w:val="18"/>
                <w:szCs w:val="18"/>
              </w:rPr>
            </w:pPr>
            <w:r>
              <w:rPr>
                <w:rFonts w:hint="eastAsia" w:ascii="仿宋_GB2312" w:eastAsia="仿宋_GB2312"/>
                <w:sz w:val="18"/>
                <w:szCs w:val="18"/>
              </w:rPr>
              <w:t xml:space="preserve">■政府网站   </w:t>
            </w:r>
            <w:r>
              <w:rPr>
                <w:rFonts w:hint="eastAsia" w:ascii="仿宋_GB2312" w:eastAsia="仿宋_GB2312"/>
                <w:sz w:val="18"/>
                <w:szCs w:val="18"/>
              </w:rPr>
              <w:br w:type="textWrapping"/>
            </w:r>
            <w:r>
              <w:rPr>
                <w:rFonts w:hint="eastAsia" w:ascii="仿宋_GB2312" w:eastAsia="仿宋_GB2312"/>
                <w:sz w:val="18"/>
                <w:szCs w:val="18"/>
              </w:rPr>
              <w:t xml:space="preserve">■两微一端   </w:t>
            </w:r>
            <w:r>
              <w:rPr>
                <w:rFonts w:hint="eastAsia" w:ascii="仿宋_GB2312" w:eastAsia="仿宋_GB2312"/>
                <w:sz w:val="18"/>
                <w:szCs w:val="18"/>
              </w:rPr>
              <w:br w:type="textWrapping"/>
            </w:r>
            <w:r>
              <w:rPr>
                <w:rFonts w:hint="eastAsia" w:ascii="仿宋_GB2312" w:eastAsia="仿宋_GB2312"/>
                <w:sz w:val="18"/>
                <w:szCs w:val="18"/>
              </w:rPr>
              <w:t xml:space="preserve">■广播电视   </w:t>
            </w:r>
          </w:p>
          <w:p>
            <w:pPr>
              <w:spacing w:line="240" w:lineRule="exact"/>
              <w:rPr>
                <w:rFonts w:ascii="仿宋_GB2312" w:eastAsia="仿宋_GB2312"/>
                <w:sz w:val="18"/>
                <w:szCs w:val="18"/>
              </w:rPr>
            </w:pPr>
            <w:r>
              <w:rPr>
                <w:rFonts w:hint="eastAsia" w:ascii="仿宋_GB2312" w:eastAsia="仿宋_GB2312"/>
                <w:sz w:val="18"/>
                <w:szCs w:val="18"/>
              </w:rPr>
              <w:t>■纸质媒体</w:t>
            </w:r>
            <w:r>
              <w:rPr>
                <w:rFonts w:hint="eastAsia" w:ascii="仿宋_GB2312" w:eastAsia="仿宋_GB2312"/>
                <w:sz w:val="18"/>
                <w:szCs w:val="18"/>
              </w:rPr>
              <w:br w:type="textWrapping"/>
            </w:r>
            <w:r>
              <w:rPr>
                <w:rFonts w:hint="eastAsia" w:ascii="仿宋_GB2312" w:eastAsia="仿宋_GB2312"/>
                <w:sz w:val="18"/>
                <w:szCs w:val="18"/>
              </w:rPr>
              <w:t>■公开查阅点</w:t>
            </w:r>
          </w:p>
        </w:tc>
        <w:tc>
          <w:tcPr>
            <w:tcW w:w="540" w:type="dxa"/>
            <w:tcBorders>
              <w:top w:val="single" w:color="auto" w:sz="4" w:space="0"/>
              <w:left w:val="nil"/>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720" w:type="dxa"/>
            <w:tcBorders>
              <w:top w:val="single" w:color="auto" w:sz="4" w:space="0"/>
              <w:left w:val="nil"/>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r>
              <w:rPr>
                <w:rFonts w:hint="eastAsia" w:ascii="仿宋_GB2312" w:eastAsia="仿宋_GB2312"/>
                <w:sz w:val="18"/>
                <w:szCs w:val="18"/>
              </w:rPr>
              <w:t>　</w:t>
            </w:r>
          </w:p>
        </w:tc>
        <w:tc>
          <w:tcPr>
            <w:tcW w:w="540" w:type="dxa"/>
            <w:tcBorders>
              <w:top w:val="single" w:color="auto" w:sz="4" w:space="0"/>
              <w:left w:val="nil"/>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720" w:type="dxa"/>
            <w:tcBorders>
              <w:top w:val="single" w:color="auto" w:sz="4" w:space="0"/>
              <w:left w:val="nil"/>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r>
              <w:rPr>
                <w:rFonts w:hint="eastAsia" w:ascii="仿宋_GB2312" w:eastAsia="仿宋_GB2312"/>
                <w:sz w:val="18"/>
                <w:szCs w:val="18"/>
              </w:rPr>
              <w:t>　</w:t>
            </w:r>
          </w:p>
        </w:tc>
        <w:tc>
          <w:tcPr>
            <w:tcW w:w="540" w:type="dxa"/>
            <w:tcBorders>
              <w:top w:val="single" w:color="auto" w:sz="4" w:space="0"/>
              <w:left w:val="nil"/>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664" w:type="dxa"/>
            <w:tcBorders>
              <w:top w:val="single" w:color="auto" w:sz="4" w:space="0"/>
              <w:left w:val="nil"/>
              <w:bottom w:val="single" w:color="auto" w:sz="4" w:space="0"/>
              <w:right w:val="single" w:color="auto" w:sz="4" w:space="0"/>
            </w:tcBorders>
            <w:shd w:val="clear" w:color="auto" w:fill="auto"/>
            <w:vAlign w:val="center"/>
          </w:tcPr>
          <w:p>
            <w:pPr>
              <w:rPr>
                <w:rFonts w:ascii="仿宋_GB2312" w:hAnsi="宋体" w:eastAsia="仿宋_GB2312" w:cs="宋体"/>
                <w:sz w:val="18"/>
                <w:szCs w:val="18"/>
              </w:rPr>
            </w:pPr>
          </w:p>
        </w:tc>
      </w:tr>
      <w:tr>
        <w:tblPrEx>
          <w:tblLayout w:type="fixed"/>
          <w:tblCellMar>
            <w:top w:w="0" w:type="dxa"/>
            <w:left w:w="108" w:type="dxa"/>
            <w:bottom w:w="0" w:type="dxa"/>
            <w:right w:w="108" w:type="dxa"/>
          </w:tblCellMar>
        </w:tblPrEx>
        <w:trPr>
          <w:trHeight w:val="1086" w:hRule="atLeast"/>
        </w:trPr>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18</w:t>
            </w:r>
          </w:p>
        </w:tc>
        <w:tc>
          <w:tcPr>
            <w:tcW w:w="900" w:type="dxa"/>
            <w:tcBorders>
              <w:top w:val="single" w:color="auto" w:sz="4" w:space="0"/>
              <w:left w:val="nil"/>
              <w:bottom w:val="single" w:color="auto" w:sz="4" w:space="0"/>
              <w:right w:val="single" w:color="auto" w:sz="4" w:space="0"/>
            </w:tcBorders>
            <w:shd w:val="clear" w:color="auto" w:fill="auto"/>
            <w:vAlign w:val="center"/>
          </w:tcPr>
          <w:p>
            <w:pPr>
              <w:rPr>
                <w:rFonts w:hint="eastAsia" w:ascii="仿宋_GB2312" w:eastAsia="仿宋_GB2312"/>
                <w:color w:val="000000"/>
                <w:sz w:val="18"/>
                <w:szCs w:val="18"/>
              </w:rPr>
            </w:pPr>
            <w:r>
              <w:rPr>
                <w:rFonts w:hint="eastAsia" w:ascii="仿宋_GB2312" w:eastAsia="仿宋_GB2312"/>
                <w:bCs/>
                <w:color w:val="000000"/>
                <w:sz w:val="18"/>
                <w:szCs w:val="18"/>
                <w:lang w:eastAsia="zh-CN"/>
              </w:rPr>
              <w:t>公共服务事项</w:t>
            </w:r>
          </w:p>
        </w:tc>
        <w:tc>
          <w:tcPr>
            <w:tcW w:w="1080" w:type="dxa"/>
            <w:tcBorders>
              <w:top w:val="single" w:color="auto" w:sz="4" w:space="0"/>
              <w:left w:val="nil"/>
              <w:bottom w:val="single" w:color="auto" w:sz="4" w:space="0"/>
              <w:right w:val="single" w:color="auto" w:sz="4" w:space="0"/>
            </w:tcBorders>
            <w:shd w:val="clear" w:color="auto" w:fill="auto"/>
            <w:vAlign w:val="center"/>
          </w:tcPr>
          <w:p>
            <w:pPr>
              <w:rPr>
                <w:rFonts w:hint="eastAsia" w:ascii="仿宋_GB2312" w:eastAsia="仿宋_GB2312"/>
                <w:sz w:val="18"/>
                <w:szCs w:val="18"/>
              </w:rPr>
            </w:pPr>
            <w:r>
              <w:rPr>
                <w:rFonts w:hint="eastAsia" w:ascii="仿宋_GB2312" w:eastAsia="仿宋_GB2312"/>
                <w:bCs/>
                <w:color w:val="000000"/>
                <w:sz w:val="18"/>
                <w:szCs w:val="18"/>
              </w:rPr>
              <w:t>防汛防旱防风防冻应急响应发布</w:t>
            </w:r>
          </w:p>
        </w:tc>
        <w:tc>
          <w:tcPr>
            <w:tcW w:w="270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eastAsia" w:ascii="仿宋_GB2312" w:eastAsia="仿宋_GB2312"/>
                <w:sz w:val="18"/>
                <w:szCs w:val="18"/>
              </w:rPr>
            </w:pPr>
            <w:r>
              <w:rPr>
                <w:rFonts w:hint="eastAsia" w:ascii="仿宋_GB2312" w:eastAsia="仿宋_GB2312"/>
                <w:color w:val="000000"/>
                <w:sz w:val="18"/>
                <w:szCs w:val="18"/>
                <w:lang w:eastAsia="zh-CN"/>
              </w:rPr>
              <w:t>揭西县预警发布中心</w:t>
            </w:r>
            <w:r>
              <w:rPr>
                <w:rFonts w:hint="eastAsia" w:ascii="仿宋_GB2312" w:eastAsia="仿宋_GB2312"/>
                <w:color w:val="000000"/>
                <w:sz w:val="18"/>
                <w:szCs w:val="18"/>
              </w:rPr>
              <w:t>等单位发布的</w:t>
            </w:r>
            <w:r>
              <w:rPr>
                <w:rFonts w:hint="eastAsia" w:ascii="仿宋_GB2312" w:eastAsia="仿宋_GB2312"/>
                <w:color w:val="000000"/>
                <w:sz w:val="18"/>
                <w:szCs w:val="18"/>
                <w:lang w:eastAsia="zh-CN"/>
              </w:rPr>
              <w:t>相关</w:t>
            </w:r>
            <w:r>
              <w:rPr>
                <w:rFonts w:hint="eastAsia" w:ascii="仿宋_GB2312" w:eastAsia="仿宋_GB2312"/>
                <w:color w:val="000000"/>
                <w:sz w:val="18"/>
                <w:szCs w:val="18"/>
              </w:rPr>
              <w:t>信息</w:t>
            </w:r>
            <w:r>
              <w:rPr>
                <w:rFonts w:hint="eastAsia" w:ascii="仿宋_GB2312" w:eastAsia="仿宋_GB2312"/>
                <w:color w:val="000000"/>
                <w:sz w:val="18"/>
                <w:szCs w:val="18"/>
                <w:lang w:eastAsia="zh-CN"/>
              </w:rPr>
              <w:t>及</w:t>
            </w:r>
            <w:r>
              <w:rPr>
                <w:rFonts w:hint="eastAsia" w:ascii="仿宋_GB2312" w:eastAsia="仿宋_GB2312"/>
                <w:bCs/>
                <w:color w:val="000000"/>
                <w:sz w:val="18"/>
                <w:szCs w:val="18"/>
              </w:rPr>
              <w:t>防汛防旱防风防冻</w:t>
            </w:r>
            <w:r>
              <w:rPr>
                <w:rFonts w:hint="eastAsia" w:ascii="仿宋_GB2312" w:eastAsia="仿宋_GB2312"/>
                <w:sz w:val="18"/>
                <w:szCs w:val="18"/>
              </w:rPr>
              <w:t>其他相关动态信息</w:t>
            </w:r>
          </w:p>
        </w:tc>
        <w:tc>
          <w:tcPr>
            <w:tcW w:w="1968"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eastAsia" w:ascii="仿宋_GB2312" w:eastAsia="仿宋_GB2312"/>
                <w:sz w:val="18"/>
                <w:szCs w:val="18"/>
              </w:rPr>
            </w:pPr>
            <w:r>
              <w:rPr>
                <w:rFonts w:hint="eastAsia" w:ascii="仿宋_GB2312" w:eastAsia="仿宋_GB2312"/>
                <w:bCs/>
                <w:color w:val="000000"/>
                <w:sz w:val="18"/>
                <w:szCs w:val="18"/>
              </w:rPr>
              <w:fldChar w:fldCharType="begin"/>
            </w:r>
            <w:r>
              <w:rPr>
                <w:rFonts w:hint="eastAsia" w:ascii="仿宋_GB2312" w:eastAsia="仿宋_GB2312"/>
                <w:bCs/>
                <w:color w:val="000000"/>
                <w:sz w:val="18"/>
                <w:szCs w:val="18"/>
              </w:rPr>
              <w:instrText xml:space="preserve"> HYPERLINK "http://www.gd.gov.cn/zwgk/wjk/zcfgk/content/post_2712286.html" \t "https://www.gdzwfw.gov.cn/portal/guide/_blank" </w:instrText>
            </w:r>
            <w:r>
              <w:rPr>
                <w:rFonts w:hint="eastAsia" w:ascii="仿宋_GB2312" w:eastAsia="仿宋_GB2312"/>
                <w:bCs/>
                <w:color w:val="000000"/>
                <w:sz w:val="18"/>
                <w:szCs w:val="18"/>
              </w:rPr>
              <w:fldChar w:fldCharType="separate"/>
            </w:r>
            <w:r>
              <w:rPr>
                <w:rFonts w:hint="default" w:ascii="仿宋_GB2312" w:eastAsia="仿宋_GB2312"/>
                <w:bCs/>
                <w:color w:val="000000"/>
                <w:sz w:val="18"/>
                <w:szCs w:val="18"/>
              </w:rPr>
              <w:t>《印发广东省防汛防旱防风防冻应急预案的通知》</w:t>
            </w:r>
            <w:r>
              <w:rPr>
                <w:rFonts w:hint="default" w:ascii="仿宋_GB2312" w:eastAsia="仿宋_GB2312"/>
                <w:bCs/>
                <w:color w:val="000000"/>
                <w:sz w:val="18"/>
                <w:szCs w:val="18"/>
              </w:rPr>
              <w:fldChar w:fldCharType="end"/>
            </w:r>
          </w:p>
        </w:tc>
        <w:tc>
          <w:tcPr>
            <w:tcW w:w="216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eastAsia" w:ascii="仿宋_GB2312" w:eastAsia="仿宋_GB2312"/>
                <w:sz w:val="18"/>
                <w:szCs w:val="18"/>
              </w:rPr>
            </w:pPr>
            <w:r>
              <w:rPr>
                <w:rFonts w:hint="eastAsia" w:ascii="仿宋_GB2312" w:eastAsia="仿宋_GB2312"/>
                <w:bCs/>
                <w:color w:val="000000"/>
                <w:sz w:val="18"/>
                <w:szCs w:val="18"/>
              </w:rPr>
              <w:t>信息形成或变更之日起</w:t>
            </w:r>
            <w:r>
              <w:rPr>
                <w:rFonts w:hint="eastAsia" w:ascii="仿宋_GB2312" w:eastAsia="仿宋_GB2312"/>
                <w:bCs/>
                <w:color w:val="000000"/>
                <w:sz w:val="18"/>
                <w:szCs w:val="18"/>
                <w:lang w:val="en-US" w:eastAsia="zh-CN"/>
              </w:rPr>
              <w:t>1</w:t>
            </w:r>
            <w:r>
              <w:rPr>
                <w:rFonts w:hint="eastAsia" w:ascii="仿宋_GB2312" w:eastAsia="仿宋_GB2312"/>
                <w:bCs/>
                <w:color w:val="000000"/>
                <w:sz w:val="18"/>
                <w:szCs w:val="18"/>
              </w:rPr>
              <w:t>个工作日内</w:t>
            </w:r>
          </w:p>
        </w:tc>
        <w:tc>
          <w:tcPr>
            <w:tcW w:w="109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eastAsia" w:ascii="仿宋_GB2312" w:eastAsia="仿宋_GB2312"/>
                <w:sz w:val="18"/>
                <w:szCs w:val="18"/>
              </w:rPr>
            </w:pPr>
            <w:r>
              <w:rPr>
                <w:rFonts w:hint="eastAsia" w:ascii="仿宋_GB2312" w:eastAsia="仿宋_GB2312"/>
                <w:bCs/>
                <w:color w:val="000000"/>
                <w:sz w:val="18"/>
                <w:szCs w:val="18"/>
              </w:rPr>
              <w:t>应急管理部门</w:t>
            </w:r>
          </w:p>
        </w:tc>
        <w:tc>
          <w:tcPr>
            <w:tcW w:w="149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exact"/>
              <w:rPr>
                <w:rFonts w:hint="eastAsia" w:ascii="仿宋_GB2312" w:eastAsia="仿宋_GB2312"/>
                <w:sz w:val="18"/>
                <w:szCs w:val="18"/>
              </w:rPr>
            </w:pPr>
            <w:r>
              <w:rPr>
                <w:rFonts w:hint="eastAsia" w:ascii="仿宋_GB2312" w:eastAsia="仿宋_GB2312"/>
                <w:sz w:val="18"/>
                <w:szCs w:val="18"/>
              </w:rPr>
              <w:t xml:space="preserve">■政府网站   </w:t>
            </w:r>
            <w:r>
              <w:rPr>
                <w:rFonts w:hint="eastAsia" w:ascii="仿宋_GB2312" w:eastAsia="仿宋_GB2312"/>
                <w:sz w:val="18"/>
                <w:szCs w:val="18"/>
              </w:rPr>
              <w:br w:type="textWrapping"/>
            </w:r>
            <w:r>
              <w:rPr>
                <w:rFonts w:hint="eastAsia" w:ascii="仿宋_GB2312" w:eastAsia="仿宋_GB2312"/>
                <w:sz w:val="18"/>
                <w:szCs w:val="18"/>
              </w:rPr>
              <w:t xml:space="preserve">■两微一端   </w:t>
            </w:r>
            <w:r>
              <w:rPr>
                <w:rFonts w:hint="eastAsia" w:ascii="仿宋_GB2312" w:eastAsia="仿宋_GB2312"/>
                <w:sz w:val="18"/>
                <w:szCs w:val="18"/>
              </w:rPr>
              <w:br w:type="textWrapping"/>
            </w:r>
            <w:r>
              <w:rPr>
                <w:rFonts w:hint="eastAsia" w:ascii="仿宋_GB2312" w:eastAsia="仿宋_GB2312"/>
                <w:sz w:val="18"/>
                <w:szCs w:val="18"/>
              </w:rPr>
              <w:t xml:space="preserve">■广播电视   </w:t>
            </w:r>
          </w:p>
          <w:p>
            <w:pPr>
              <w:spacing w:line="240" w:lineRule="exact"/>
              <w:jc w:val="left"/>
              <w:rPr>
                <w:rFonts w:hint="eastAsia" w:ascii="仿宋_GB2312" w:eastAsia="仿宋_GB2312"/>
                <w:sz w:val="18"/>
                <w:szCs w:val="18"/>
              </w:rPr>
            </w:pPr>
            <w:r>
              <w:rPr>
                <w:rFonts w:hint="eastAsia" w:ascii="仿宋_GB2312" w:eastAsia="仿宋_GB2312"/>
                <w:sz w:val="18"/>
                <w:szCs w:val="18"/>
              </w:rPr>
              <w:t>■纸质媒体</w:t>
            </w:r>
            <w:r>
              <w:rPr>
                <w:rFonts w:hint="eastAsia" w:ascii="仿宋_GB2312" w:eastAsia="仿宋_GB2312"/>
                <w:sz w:val="18"/>
                <w:szCs w:val="18"/>
              </w:rPr>
              <w:br w:type="textWrapping"/>
            </w:r>
            <w:r>
              <w:rPr>
                <w:rFonts w:hint="eastAsia" w:ascii="仿宋_GB2312" w:eastAsia="仿宋_GB2312"/>
                <w:sz w:val="18"/>
                <w:szCs w:val="18"/>
              </w:rPr>
              <w:t>■公开查阅点</w:t>
            </w:r>
          </w:p>
        </w:tc>
        <w:tc>
          <w:tcPr>
            <w:tcW w:w="540" w:type="dxa"/>
            <w:tcBorders>
              <w:top w:val="single" w:color="auto" w:sz="4" w:space="0"/>
              <w:left w:val="nil"/>
              <w:bottom w:val="single" w:color="auto" w:sz="4" w:space="0"/>
              <w:right w:val="single" w:color="auto" w:sz="4" w:space="0"/>
            </w:tcBorders>
            <w:shd w:val="clear" w:color="auto" w:fill="auto"/>
            <w:vAlign w:val="center"/>
          </w:tcPr>
          <w:p>
            <w:pPr>
              <w:rPr>
                <w:rFonts w:hint="eastAsia" w:ascii="仿宋_GB2312" w:eastAsia="仿宋_GB2312"/>
                <w:sz w:val="18"/>
                <w:szCs w:val="18"/>
              </w:rPr>
            </w:pPr>
            <w:r>
              <w:rPr>
                <w:rFonts w:hint="eastAsia" w:ascii="仿宋_GB2312" w:eastAsia="仿宋_GB2312"/>
                <w:bCs/>
                <w:sz w:val="18"/>
                <w:szCs w:val="18"/>
              </w:rPr>
              <w:t>√</w:t>
            </w:r>
          </w:p>
        </w:tc>
        <w:tc>
          <w:tcPr>
            <w:tcW w:w="720" w:type="dxa"/>
            <w:tcBorders>
              <w:top w:val="single" w:color="auto" w:sz="4" w:space="0"/>
              <w:left w:val="nil"/>
              <w:bottom w:val="single" w:color="auto" w:sz="4" w:space="0"/>
              <w:right w:val="single" w:color="auto" w:sz="4" w:space="0"/>
            </w:tcBorders>
            <w:shd w:val="clear" w:color="auto" w:fill="auto"/>
            <w:vAlign w:val="center"/>
          </w:tcPr>
          <w:p>
            <w:pPr>
              <w:rPr>
                <w:rFonts w:hint="eastAsia" w:ascii="仿宋_GB2312" w:eastAsia="仿宋_GB2312"/>
                <w:sz w:val="18"/>
                <w:szCs w:val="18"/>
              </w:rPr>
            </w:pPr>
            <w:r>
              <w:rPr>
                <w:rFonts w:hint="eastAsia" w:ascii="仿宋_GB2312" w:eastAsia="仿宋_GB2312"/>
                <w:bCs/>
                <w:color w:val="000000"/>
                <w:sz w:val="18"/>
                <w:szCs w:val="18"/>
              </w:rPr>
              <w:t>　</w:t>
            </w:r>
          </w:p>
        </w:tc>
        <w:tc>
          <w:tcPr>
            <w:tcW w:w="540" w:type="dxa"/>
            <w:tcBorders>
              <w:top w:val="single" w:color="auto" w:sz="4" w:space="0"/>
              <w:left w:val="nil"/>
              <w:bottom w:val="single" w:color="auto" w:sz="4" w:space="0"/>
              <w:right w:val="single" w:color="auto" w:sz="4" w:space="0"/>
            </w:tcBorders>
            <w:shd w:val="clear" w:color="auto" w:fill="auto"/>
            <w:vAlign w:val="center"/>
          </w:tcPr>
          <w:p>
            <w:pPr>
              <w:rPr>
                <w:rFonts w:hint="eastAsia" w:ascii="仿宋_GB2312" w:eastAsia="仿宋_GB2312"/>
                <w:sz w:val="18"/>
                <w:szCs w:val="18"/>
              </w:rPr>
            </w:pPr>
            <w:r>
              <w:rPr>
                <w:rFonts w:hint="eastAsia" w:ascii="仿宋_GB2312" w:eastAsia="仿宋_GB2312"/>
                <w:bCs/>
                <w:sz w:val="18"/>
                <w:szCs w:val="18"/>
              </w:rPr>
              <w:t>√</w:t>
            </w:r>
          </w:p>
        </w:tc>
        <w:tc>
          <w:tcPr>
            <w:tcW w:w="720" w:type="dxa"/>
            <w:tcBorders>
              <w:top w:val="single" w:color="auto" w:sz="4" w:space="0"/>
              <w:left w:val="nil"/>
              <w:bottom w:val="single" w:color="auto" w:sz="4" w:space="0"/>
              <w:right w:val="single" w:color="auto" w:sz="4" w:space="0"/>
            </w:tcBorders>
            <w:shd w:val="clear" w:color="auto" w:fill="auto"/>
            <w:vAlign w:val="center"/>
          </w:tcPr>
          <w:p>
            <w:pPr>
              <w:rPr>
                <w:rFonts w:hint="eastAsia" w:ascii="仿宋_GB2312" w:eastAsia="仿宋_GB2312"/>
                <w:sz w:val="18"/>
                <w:szCs w:val="18"/>
              </w:rPr>
            </w:pPr>
            <w:r>
              <w:rPr>
                <w:rFonts w:hint="eastAsia" w:ascii="仿宋_GB2312" w:eastAsia="仿宋_GB2312"/>
                <w:bCs/>
                <w:color w:val="000000"/>
                <w:sz w:val="18"/>
                <w:szCs w:val="18"/>
              </w:rPr>
              <w:t>　</w:t>
            </w:r>
          </w:p>
        </w:tc>
        <w:tc>
          <w:tcPr>
            <w:tcW w:w="540" w:type="dxa"/>
            <w:tcBorders>
              <w:top w:val="single" w:color="auto" w:sz="4" w:space="0"/>
              <w:left w:val="nil"/>
              <w:bottom w:val="single" w:color="auto" w:sz="4" w:space="0"/>
              <w:right w:val="single" w:color="auto" w:sz="4" w:space="0"/>
            </w:tcBorders>
            <w:shd w:val="clear" w:color="auto" w:fill="auto"/>
            <w:vAlign w:val="center"/>
          </w:tcPr>
          <w:p>
            <w:pPr>
              <w:rPr>
                <w:rFonts w:hint="eastAsia" w:ascii="仿宋_GB2312" w:eastAsia="仿宋_GB2312"/>
                <w:sz w:val="18"/>
                <w:szCs w:val="18"/>
              </w:rPr>
            </w:pPr>
            <w:r>
              <w:rPr>
                <w:rFonts w:hint="eastAsia" w:ascii="仿宋_GB2312" w:eastAsia="仿宋_GB2312"/>
                <w:bCs/>
                <w:sz w:val="18"/>
                <w:szCs w:val="18"/>
              </w:rPr>
              <w:t>√</w:t>
            </w:r>
          </w:p>
        </w:tc>
        <w:tc>
          <w:tcPr>
            <w:tcW w:w="664" w:type="dxa"/>
            <w:tcBorders>
              <w:top w:val="single" w:color="auto" w:sz="4" w:space="0"/>
              <w:left w:val="nil"/>
              <w:bottom w:val="single" w:color="auto" w:sz="4" w:space="0"/>
              <w:right w:val="single" w:color="auto" w:sz="4" w:space="0"/>
            </w:tcBorders>
            <w:shd w:val="clear" w:color="auto" w:fill="auto"/>
            <w:vAlign w:val="center"/>
          </w:tcPr>
          <w:p>
            <w:pPr>
              <w:rPr>
                <w:rFonts w:hint="eastAsia" w:ascii="仿宋_GB2312" w:eastAsia="仿宋_GB2312"/>
                <w:sz w:val="18"/>
                <w:szCs w:val="18"/>
              </w:rPr>
            </w:pPr>
            <w:r>
              <w:rPr>
                <w:rFonts w:hint="eastAsia" w:ascii="仿宋_GB2312" w:eastAsia="仿宋_GB2312"/>
                <w:bCs/>
                <w:sz w:val="18"/>
                <w:szCs w:val="18"/>
              </w:rPr>
              <w:t>　</w:t>
            </w:r>
          </w:p>
        </w:tc>
      </w:tr>
    </w:tbl>
    <w:p>
      <w:pPr>
        <w:rPr>
          <w:rFonts w:hint="eastAsia"/>
          <w:lang w:eastAsia="zh-CN"/>
        </w:rPr>
      </w:pPr>
    </w:p>
    <w:p>
      <w:pPr>
        <w:rPr>
          <w:rFonts w:hint="eastAsia"/>
          <w:lang w:val="en-US" w:eastAsia="zh-CN"/>
        </w:rPr>
      </w:pPr>
      <w:r>
        <w:rPr>
          <w:rFonts w:hint="eastAsia"/>
          <w:lang w:eastAsia="zh-CN"/>
        </w:rPr>
        <w:t>备注</w:t>
      </w:r>
      <w:r>
        <w:rPr>
          <w:rFonts w:hint="default"/>
          <w:lang w:val="en-US" w:eastAsia="zh-CN"/>
        </w:rPr>
        <w:t>:</w:t>
      </w:r>
      <w:r>
        <w:rPr>
          <w:rFonts w:hint="eastAsia"/>
          <w:lang w:val="en-US" w:eastAsia="zh-CN"/>
        </w:rPr>
        <w:t>删除项</w:t>
      </w:r>
    </w:p>
    <w:p>
      <w:pPr>
        <w:rPr>
          <w:rFonts w:hint="default"/>
          <w:lang w:val="en-US" w:eastAsia="zh-CN"/>
        </w:rPr>
      </w:pPr>
      <w:r>
        <w:rPr>
          <w:rFonts w:hint="default"/>
          <w:lang w:val="en-US" w:eastAsia="zh-CN"/>
        </w:rPr>
        <w:t>1.</w:t>
      </w:r>
      <w:r>
        <w:rPr>
          <w:rFonts w:hint="eastAsia"/>
          <w:lang w:val="en-US" w:eastAsia="zh-CN"/>
        </w:rPr>
        <w:t>一级事项</w:t>
      </w:r>
      <w:r>
        <w:rPr>
          <w:rFonts w:hint="default"/>
          <w:lang w:val="en-US" w:eastAsia="zh-CN"/>
        </w:rPr>
        <w:t>:</w:t>
      </w:r>
      <w:r>
        <w:rPr>
          <w:rFonts w:hint="eastAsia"/>
          <w:lang w:val="en-US" w:eastAsia="zh-CN"/>
        </w:rPr>
        <w:t>灾后救助       二级事项</w:t>
      </w:r>
      <w:r>
        <w:rPr>
          <w:rFonts w:hint="default"/>
          <w:lang w:val="en-US" w:eastAsia="zh-CN"/>
        </w:rPr>
        <w:t>:</w:t>
      </w:r>
      <w:r>
        <w:rPr>
          <w:rFonts w:hint="eastAsia"/>
          <w:lang w:val="en-US" w:eastAsia="zh-CN"/>
        </w:rPr>
        <w:t>居民住房恢复重建救助</w:t>
      </w:r>
      <w:r>
        <w:rPr>
          <w:rFonts w:hint="default"/>
          <w:lang w:val="en-US" w:eastAsia="zh-CN"/>
        </w:rPr>
        <w:t>(</w:t>
      </w:r>
      <w:r>
        <w:rPr>
          <w:rFonts w:hint="eastAsia"/>
          <w:lang w:val="en-US" w:eastAsia="zh-CN"/>
        </w:rPr>
        <w:t>不在我局权责清单、公共服务事项范围，不属我局公开</w:t>
      </w:r>
      <w:r>
        <w:rPr>
          <w:rFonts w:hint="default"/>
          <w:lang w:val="en-US" w:eastAsia="zh-CN"/>
        </w:rPr>
        <w:t>)</w:t>
      </w:r>
    </w:p>
    <w:p>
      <w:r>
        <w:rPr>
          <w:rFonts w:hint="default"/>
          <w:lang w:val="en-US" w:eastAsia="zh-CN"/>
        </w:rPr>
        <w:t>2.</w:t>
      </w:r>
      <w:r>
        <w:rPr>
          <w:rFonts w:hint="eastAsia"/>
          <w:lang w:val="en-US" w:eastAsia="zh-CN"/>
        </w:rPr>
        <w:t>一级事项</w:t>
      </w:r>
      <w:r>
        <w:rPr>
          <w:rFonts w:hint="default"/>
          <w:lang w:val="en-US" w:eastAsia="zh-CN"/>
        </w:rPr>
        <w:t>:</w:t>
      </w:r>
      <w:r>
        <w:rPr>
          <w:rFonts w:hint="eastAsia"/>
          <w:lang w:val="en-US" w:eastAsia="zh-CN"/>
        </w:rPr>
        <w:t>款物管理</w:t>
      </w:r>
      <w:r>
        <w:rPr>
          <w:rFonts w:hint="default"/>
          <w:lang w:val="en-US" w:eastAsia="zh-CN"/>
        </w:rPr>
        <w:t xml:space="preserve">       </w:t>
      </w:r>
      <w:r>
        <w:rPr>
          <w:rFonts w:hint="eastAsia"/>
          <w:lang w:val="en-US" w:eastAsia="zh-CN"/>
        </w:rPr>
        <w:t>二级事项</w:t>
      </w:r>
      <w:r>
        <w:rPr>
          <w:rFonts w:hint="default"/>
          <w:lang w:val="en-US" w:eastAsia="zh-CN"/>
        </w:rPr>
        <w:t>:</w:t>
      </w:r>
      <w:r>
        <w:rPr>
          <w:rFonts w:hint="eastAsia"/>
          <w:lang w:val="en-US" w:eastAsia="zh-CN"/>
        </w:rPr>
        <w:t>捐赠款物信息</w:t>
      </w:r>
      <w:r>
        <w:rPr>
          <w:rFonts w:hint="default"/>
          <w:lang w:val="en-US" w:eastAsia="zh-CN"/>
        </w:rPr>
        <w:t>(</w:t>
      </w:r>
      <w:r>
        <w:rPr>
          <w:rFonts w:hint="eastAsia"/>
          <w:lang w:val="en-US" w:eastAsia="zh-CN"/>
        </w:rPr>
        <w:t>不在我局权责清单、公共服务事项范围，不属我局公开</w:t>
      </w:r>
      <w:r>
        <w:rPr>
          <w:rFonts w:hint="default"/>
          <w:lang w:val="en-US" w:eastAsia="zh-CN"/>
        </w:rPr>
        <w:t>)</w:t>
      </w: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auto"/>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001010101"/>
    <w:charset w:val="86"/>
    <w:family w:val="modern"/>
    <w:pitch w:val="default"/>
    <w:sig w:usb0="00000000" w:usb1="00000000" w:usb2="00000000" w:usb3="00000000" w:csb0="00040000" w:csb1="00000000"/>
  </w:font>
  <w:font w:name="等线">
    <w:panose1 w:val="02010600030101010101"/>
    <w:charset w:val="86"/>
    <w:family w:val="auto"/>
    <w:pitch w:val="default"/>
    <w:sig w:usb0="A00002BF" w:usb1="38CF7CFA" w:usb2="00000016" w:usb3="00000000" w:csb0="0004000F" w:csb1="00000000"/>
  </w:font>
  <w:font w:name="方正小标宋_GBK">
    <w:altName w:val="Arial Unicode MS"/>
    <w:panose1 w:val="03000509000000000000"/>
    <w:charset w:val="86"/>
    <w:family w:val="script"/>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Wingdings 2">
    <w:panose1 w:val="05020102010507070707"/>
    <w:charset w:val="02"/>
    <w:family w:val="roman"/>
    <w:pitch w:val="default"/>
    <w:sig w:usb0="00000000" w:usb1="00000000" w:usb2="00000000" w:usb3="00000000" w:csb0="80000000" w:csb1="00000000"/>
  </w:font>
  <w:font w:name="楷体_GB2312">
    <w:altName w:val="楷体"/>
    <w:panose1 w:val="02010609030001010101"/>
    <w:charset w:val="86"/>
    <w:family w:val="modern"/>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PMingLiU">
    <w:altName w:val="PMingLiU-ExtB"/>
    <w:panose1 w:val="02020500000000000000"/>
    <w:charset w:val="88"/>
    <w:family w:val="auto"/>
    <w:pitch w:val="default"/>
    <w:sig w:usb0="00000000" w:usb1="00000000" w:usb2="00000016" w:usb3="00000000" w:csb0="00100001" w:csb1="00000000"/>
  </w:font>
  <w:font w:name="Helvetica">
    <w:altName w:val="Arial"/>
    <w:panose1 w:val="00000000000000000000"/>
    <w:charset w:val="00"/>
    <w:family w:val="auto"/>
    <w:pitch w:val="default"/>
    <w:sig w:usb0="00000000" w:usb1="00000000" w:usb2="00000000" w:usb3="00000000" w:csb0="00000000" w:csb1="00000000"/>
  </w:font>
  <w:font w:name="PMingLiU-ExtB">
    <w:panose1 w:val="02020500000000000000"/>
    <w:charset w:val="88"/>
    <w:family w:val="auto"/>
    <w:pitch w:val="default"/>
    <w:sig w:usb0="8000002F" w:usb1="02000008" w:usb2="00000000" w:usb3="00000000" w:csb0="001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15D55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3">
    <w:name w:val="Default Paragraph Font"/>
    <w:uiPriority w:val="0"/>
  </w:style>
  <w:style w:type="table" w:default="1" w:styleId="4">
    <w:name w:val="Normal Table"/>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揭西县安全生产监督管理局</Company>
  <Pages>1</Pages>
  <Words>6653</Words>
  <Characters>6747</Characters>
  <Paragraphs>915</Paragraphs>
  <TotalTime>12</TotalTime>
  <ScaleCrop>false</ScaleCrop>
  <LinksUpToDate>false</LinksUpToDate>
  <CharactersWithSpaces>7399</CharactersWithSpaces>
  <Application>WPS Office_10.8.0.6423_F1E327BC-269C-435d-A152-05C5408002CA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2020-11-03T08:02:00Z</dcterms:created>
  <dc:creator>admin</dc:creator>
  <cp:lastModifiedBy>ZYT</cp:lastModifiedBy>
  <dcterms:modified xsi:type="dcterms:W3CDTF">2020-12-08T07:36:01Z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2052-10.8.0.6423</vt:lpwstr>
  </property>
</Properties>
</file>