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9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（六）养老服务领域基层政务公开标准目录</w:t>
      </w:r>
      <w:bookmarkEnd w:id="0"/>
      <w:bookmarkStart w:id="1" w:name="_GoBack"/>
      <w:bookmarkEnd w:id="1"/>
    </w:p>
    <w:tbl>
      <w:tblPr>
        <w:tblStyle w:val="3"/>
        <w:tblW w:w="15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"/>
        <w:gridCol w:w="700"/>
        <w:gridCol w:w="750"/>
        <w:gridCol w:w="2350"/>
        <w:gridCol w:w="1233"/>
        <w:gridCol w:w="1184"/>
        <w:gridCol w:w="1233"/>
        <w:gridCol w:w="3550"/>
        <w:gridCol w:w="800"/>
        <w:gridCol w:w="833"/>
        <w:gridCol w:w="734"/>
        <w:gridCol w:w="750"/>
        <w:gridCol w:w="75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5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18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35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63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48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84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3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5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spacing w:after="24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16" w:lineRule="auto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3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3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《老年人权益保障法》、《中华人民共和国行政强制法》、《中华人民共和国行政处罚法》及其他有关法律、行政法规、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《养老机构管理办法》、各地相关法规、信息公开规定</w:t>
            </w:r>
          </w:p>
        </w:tc>
        <w:tc>
          <w:tcPr>
            <w:tcW w:w="1184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23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3550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■政府网站  □政府公报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■两微一端  □发布会/听证会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□广播电视  □纸质媒体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□公开查阅点■政务服务中心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□便民服务站□入户/现场</w:t>
            </w:r>
          </w:p>
          <w:p>
            <w:pP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□社区/企事业单位/村公示栏（电子屏）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18"/>
                <w:szCs w:val="18"/>
                <w:lang w:val="en-US" w:eastAsia="zh-CN"/>
              </w:rPr>
              <w:t>□精准推送  □其他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rPr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5546C"/>
    <w:rsid w:val="58E5546C"/>
    <w:rsid w:val="69A732BB"/>
    <w:rsid w:val="69AF79A1"/>
    <w:rsid w:val="6EEFD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揭阳市民政局</Company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2020-07-13T09:27:00Z</dcterms:created>
  <dc:creator>Administrator</dc:creator>
  <cp:lastModifiedBy>admin001</cp:lastModifiedBy>
  <dcterms:modified xsi:type="dcterms:W3CDTF">2025-08-15T11:13:30Z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