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9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（六）养老服务领域基层政务公开标准目录</w:t>
      </w:r>
      <w:bookmarkEnd w:id="0"/>
      <w:bookmarkStart w:id="1" w:name="_GoBack"/>
      <w:bookmarkEnd w:id="1"/>
    </w:p>
    <w:tbl>
      <w:tblPr>
        <w:tblStyle w:val="3"/>
        <w:tblW w:w="15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"/>
        <w:gridCol w:w="700"/>
        <w:gridCol w:w="750"/>
        <w:gridCol w:w="2350"/>
        <w:gridCol w:w="1233"/>
        <w:gridCol w:w="1184"/>
        <w:gridCol w:w="1233"/>
        <w:gridCol w:w="3550"/>
        <w:gridCol w:w="800"/>
        <w:gridCol w:w="833"/>
        <w:gridCol w:w="734"/>
        <w:gridCol w:w="750"/>
        <w:gridCol w:w="75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18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35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6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48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84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5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《老年人权益保障法》、《中华人民共和国行政强制法》、《中华人民共和国行政处罚法》及其他有关法律、行政法规、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rPr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5546C"/>
    <w:rsid w:val="58E5546C"/>
    <w:rsid w:val="69A732BB"/>
    <w:rsid w:val="69AF79A1"/>
    <w:rsid w:val="7DFB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揭阳市民政局</Company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2020-07-13T09:27:00Z</dcterms:created>
  <dc:creator>Administrator</dc:creator>
  <cp:lastModifiedBy>admin001</cp:lastModifiedBy>
  <dcterms:modified xsi:type="dcterms:W3CDTF">2025-08-07T10:06:47Z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