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1"/>
        <w:jc w:val="center"/>
        <w:rPr>
          <w:rFonts w:ascii="方正小标宋_GBK" w:eastAsia="方正小标宋_GBK" w:hAnsi="方正小标宋_GBK" w:hint="eastAsia"/>
          <w:b w:val="false"/>
          <w:bCs w:val="false"/>
          <w:sz w:val="30"/>
        </w:rPr>
      </w:pPr>
      <w:bookmarkStart w:id="0" w:name="_Toc24724725"/>
      <w:r>
        <w:rPr>
          <w:rFonts w:ascii="方正小标宋_GBK" w:eastAsia="方正小标宋_GBK" w:hAnsi="方正小标宋_GBK" w:hint="eastAsia"/>
          <w:b w:val="false"/>
          <w:bCs w:val="false"/>
          <w:sz w:val="30"/>
        </w:rPr>
        <w:t>（二十二）安全生产领域基层政务公开标准目录</w:t>
      </w:r>
      <w:bookmarkEnd w:id="0"/>
    </w:p>
    <w:tbl>
      <w:tblPr>
        <w:tblStyle w:val="style105"/>
        <w:tblW w:w="15660" w:type="dxa"/>
        <w:tblInd w:w="-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40"/>
        <w:gridCol w:w="900"/>
        <w:gridCol w:w="1080"/>
        <w:gridCol w:w="2520"/>
        <w:gridCol w:w="2520"/>
        <w:gridCol w:w="1800"/>
        <w:gridCol w:w="900"/>
        <w:gridCol w:w="1496"/>
        <w:gridCol w:w="664"/>
        <w:gridCol w:w="720"/>
        <w:gridCol w:w="720"/>
        <w:gridCol w:w="720"/>
        <w:gridCol w:w="540"/>
        <w:gridCol w:w="540"/>
      </w:tblGrid>
      <w:tr>
        <w:trPr>
          <w:trHeight w:val="420" w:hRule="atLeast"/>
        </w:trPr>
        <w:tc>
          <w:tcPr>
            <w:tcW w:w="540" w:type="dxa"/>
            <w:vMerge w:val="restart"/>
            <w:tcBorders/>
            <w:shd w:val="clear" w:color="auto" w:fill="auto"/>
            <w:vAlign w:val="center"/>
          </w:tcPr>
          <w:p>
            <w:pPr>
              <w:pStyle w:val="style0"/>
              <w:widowControl/>
              <w:jc w:val="center"/>
              <w:rPr>
                <w:rFonts w:ascii="仿宋_GB2312" w:eastAsia="仿宋_GB2312" w:hAnsi="Times New Roman" w:hint="eastAsia"/>
                <w:color w:val="000000"/>
                <w:kern w:val="0"/>
                <w:sz w:val="18"/>
                <w:szCs w:val="18"/>
              </w:rPr>
            </w:pPr>
            <w:r>
              <w:rPr>
                <w:rFonts w:ascii="黑体" w:cs="宋体" w:eastAsia="黑体" w:hAnsi="宋体" w:hint="eastAsia"/>
                <w:color w:val="000000"/>
                <w:kern w:val="0"/>
                <w:sz w:val="22"/>
              </w:rPr>
              <w:t>序号</w:t>
            </w:r>
          </w:p>
        </w:tc>
        <w:tc>
          <w:tcPr>
            <w:tcW w:w="1980" w:type="dxa"/>
            <w:gridSpan w:val="2"/>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公开事项</w:t>
            </w:r>
          </w:p>
        </w:tc>
        <w:tc>
          <w:tcPr>
            <w:tcW w:w="2520" w:type="dxa"/>
            <w:vMerge w:val="restart"/>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公开内容（要素）</w:t>
            </w:r>
          </w:p>
        </w:tc>
        <w:tc>
          <w:tcPr>
            <w:tcW w:w="2520" w:type="dxa"/>
            <w:vMerge w:val="restart"/>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公开依据</w:t>
            </w:r>
          </w:p>
        </w:tc>
        <w:tc>
          <w:tcPr>
            <w:tcW w:w="1800" w:type="dxa"/>
            <w:vMerge w:val="restart"/>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公开时限</w:t>
            </w:r>
          </w:p>
        </w:tc>
        <w:tc>
          <w:tcPr>
            <w:tcW w:w="900" w:type="dxa"/>
            <w:vMerge w:val="restart"/>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公开主体</w:t>
            </w:r>
          </w:p>
        </w:tc>
        <w:tc>
          <w:tcPr>
            <w:tcW w:w="1496" w:type="dxa"/>
            <w:vMerge w:val="restart"/>
            <w:tcBorders/>
            <w:shd w:val="clear" w:color="auto" w:fill="auto"/>
            <w:vAlign w:val="center"/>
          </w:tcPr>
          <w:p>
            <w:pPr>
              <w:pStyle w:val="style0"/>
              <w:widowControl/>
              <w:jc w:val="center"/>
              <w:rPr>
                <w:rFonts w:ascii="黑体" w:cs="宋体" w:eastAsia="黑体" w:hAnsi="宋体" w:hint="eastAsia"/>
                <w:kern w:val="0"/>
                <w:sz w:val="22"/>
              </w:rPr>
            </w:pPr>
            <w:r>
              <w:rPr>
                <w:rFonts w:ascii="黑体" w:cs="宋体" w:eastAsia="黑体" w:hAnsi="宋体" w:hint="eastAsia"/>
                <w:kern w:val="0"/>
                <w:sz w:val="22"/>
              </w:rPr>
              <w:t>公开渠道和载体</w:t>
            </w:r>
          </w:p>
        </w:tc>
        <w:tc>
          <w:tcPr>
            <w:tcW w:w="1384" w:type="dxa"/>
            <w:gridSpan w:val="2"/>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公开对象</w:t>
            </w:r>
          </w:p>
        </w:tc>
        <w:tc>
          <w:tcPr>
            <w:tcW w:w="1440" w:type="dxa"/>
            <w:gridSpan w:val="2"/>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公开方式</w:t>
            </w:r>
          </w:p>
        </w:tc>
        <w:tc>
          <w:tcPr>
            <w:tcW w:w="1080" w:type="dxa"/>
            <w:gridSpan w:val="2"/>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公开层级</w:t>
            </w:r>
          </w:p>
        </w:tc>
      </w:tr>
      <w:tr>
        <w:tblPrEx/>
        <w:trPr>
          <w:trHeight w:val="1123" w:hRule="atLeast"/>
        </w:trPr>
        <w:tc>
          <w:tcPr>
            <w:tcW w:w="540" w:type="dxa"/>
            <w:vMerge w:val="continue"/>
            <w:tcBorders/>
            <w:shd w:val="clear" w:color="auto" w:fill="auto"/>
            <w:vAlign w:val="center"/>
          </w:tcPr>
          <w:p>
            <w:pPr>
              <w:pStyle w:val="style0"/>
              <w:widowControl/>
              <w:jc w:val="center"/>
              <w:rPr>
                <w:rFonts w:ascii="仿宋_GB2312" w:eastAsia="仿宋_GB2312" w:hAnsi="Times New Roman" w:hint="eastAsia"/>
                <w:color w:val="000000"/>
                <w:kern w:val="0"/>
                <w:sz w:val="18"/>
                <w:szCs w:val="18"/>
              </w:rPr>
            </w:pPr>
          </w:p>
        </w:tc>
        <w:tc>
          <w:tcPr>
            <w:tcW w:w="900"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一级事项</w:t>
            </w:r>
          </w:p>
        </w:tc>
        <w:tc>
          <w:tcPr>
            <w:tcW w:w="1080"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二级事项</w:t>
            </w:r>
          </w:p>
        </w:tc>
        <w:tc>
          <w:tcPr>
            <w:tcW w:w="2520" w:type="dxa"/>
            <w:vMerge w:val="continue"/>
            <w:tcBorders/>
            <w:shd w:val="clear" w:color="auto" w:fill="auto"/>
            <w:vAlign w:val="center"/>
          </w:tcPr>
          <w:p>
            <w:pPr>
              <w:pStyle w:val="style0"/>
              <w:widowControl/>
              <w:jc w:val="left"/>
              <w:rPr>
                <w:rFonts w:ascii="黑体" w:cs="宋体" w:eastAsia="黑体" w:hAnsi="宋体" w:hint="eastAsia"/>
                <w:color w:val="000000"/>
                <w:kern w:val="0"/>
                <w:sz w:val="22"/>
              </w:rPr>
            </w:pPr>
          </w:p>
        </w:tc>
        <w:tc>
          <w:tcPr>
            <w:tcW w:w="2520" w:type="dxa"/>
            <w:vMerge w:val="continue"/>
            <w:tcBorders/>
            <w:shd w:val="clear" w:color="auto" w:fill="auto"/>
            <w:vAlign w:val="center"/>
          </w:tcPr>
          <w:p>
            <w:pPr>
              <w:pStyle w:val="style0"/>
              <w:widowControl/>
              <w:jc w:val="left"/>
              <w:rPr>
                <w:rFonts w:ascii="黑体" w:cs="宋体" w:eastAsia="黑体" w:hAnsi="宋体" w:hint="eastAsia"/>
                <w:color w:val="000000"/>
                <w:kern w:val="0"/>
                <w:sz w:val="22"/>
              </w:rPr>
            </w:pPr>
          </w:p>
        </w:tc>
        <w:tc>
          <w:tcPr>
            <w:tcW w:w="1800" w:type="dxa"/>
            <w:vMerge w:val="continue"/>
            <w:tcBorders/>
            <w:shd w:val="clear" w:color="auto" w:fill="auto"/>
            <w:vAlign w:val="center"/>
          </w:tcPr>
          <w:p>
            <w:pPr>
              <w:pStyle w:val="style0"/>
              <w:widowControl/>
              <w:jc w:val="left"/>
              <w:rPr>
                <w:rFonts w:ascii="黑体" w:cs="宋体" w:eastAsia="黑体" w:hAnsi="宋体" w:hint="eastAsia"/>
                <w:color w:val="000000"/>
                <w:kern w:val="0"/>
                <w:sz w:val="22"/>
              </w:rPr>
            </w:pPr>
          </w:p>
        </w:tc>
        <w:tc>
          <w:tcPr>
            <w:tcW w:w="900" w:type="dxa"/>
            <w:vMerge w:val="continue"/>
            <w:tcBorders/>
            <w:shd w:val="clear" w:color="auto" w:fill="auto"/>
            <w:vAlign w:val="center"/>
          </w:tcPr>
          <w:p>
            <w:pPr>
              <w:pStyle w:val="style0"/>
              <w:widowControl/>
              <w:jc w:val="center"/>
              <w:rPr>
                <w:rFonts w:ascii="黑体" w:cs="宋体" w:eastAsia="黑体" w:hAnsi="宋体" w:hint="eastAsia"/>
                <w:color w:val="000000"/>
                <w:kern w:val="0"/>
                <w:sz w:val="22"/>
              </w:rPr>
            </w:pPr>
          </w:p>
        </w:tc>
        <w:tc>
          <w:tcPr>
            <w:tcW w:w="1496" w:type="dxa"/>
            <w:vMerge w:val="continue"/>
            <w:tcBorders/>
            <w:shd w:val="clear" w:color="auto" w:fill="auto"/>
            <w:vAlign w:val="center"/>
          </w:tcPr>
          <w:p>
            <w:pPr>
              <w:pStyle w:val="style0"/>
              <w:widowControl/>
              <w:jc w:val="left"/>
              <w:rPr>
                <w:rFonts w:ascii="黑体" w:cs="宋体" w:eastAsia="黑体" w:hAnsi="宋体" w:hint="eastAsia"/>
                <w:kern w:val="0"/>
                <w:sz w:val="22"/>
              </w:rPr>
            </w:pPr>
          </w:p>
        </w:tc>
        <w:tc>
          <w:tcPr>
            <w:tcW w:w="664"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全社会</w:t>
            </w:r>
          </w:p>
        </w:tc>
        <w:tc>
          <w:tcPr>
            <w:tcW w:w="720"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特定群众</w:t>
            </w:r>
          </w:p>
        </w:tc>
        <w:tc>
          <w:tcPr>
            <w:tcW w:w="720"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主动</w:t>
            </w:r>
          </w:p>
        </w:tc>
        <w:tc>
          <w:tcPr>
            <w:tcW w:w="720"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依申请公开</w:t>
            </w:r>
          </w:p>
        </w:tc>
        <w:tc>
          <w:tcPr>
            <w:tcW w:w="540"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县级</w:t>
            </w:r>
          </w:p>
        </w:tc>
        <w:tc>
          <w:tcPr>
            <w:tcW w:w="540" w:type="dxa"/>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乡、村级</w:t>
            </w:r>
          </w:p>
        </w:tc>
      </w:tr>
      <w:tr>
        <w:tblPrEx/>
        <w:trPr>
          <w:trHeight w:val="758"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政策</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文件</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法律法规</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与安全生产有关的法律、法规</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jc w:val="center"/>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vMerge w:val="restart"/>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757"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部门和地方规章</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与安全生产有关的部门和地方规章</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jc w:val="center"/>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vMerge w:val="continue"/>
            <w:tcBorders/>
            <w:shd w:val="clear" w:color="auto" w:fill="auto"/>
            <w:vAlign w:val="center"/>
          </w:tcPr>
          <w:p>
            <w:pPr>
              <w:pStyle w:val="style0"/>
              <w:spacing w:lineRule="exact" w:line="240"/>
              <w:jc w:val="left"/>
              <w:rPr>
                <w:rFonts w:ascii="仿宋_GB2312" w:eastAsia="仿宋_GB2312" w:hint="eastAsia"/>
                <w:sz w:val="18"/>
                <w:szCs w:val="18"/>
              </w:rPr>
            </w:pP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89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3</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其他政策文件</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其他可以公开的与安全生产有关的政策文件，包括改革方案、发展规划、专项规划、工作计划等</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jc w:val="center"/>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vMerge w:val="continue"/>
            <w:tcBorders/>
            <w:shd w:val="clear" w:color="auto" w:fill="auto"/>
            <w:vAlign w:val="center"/>
          </w:tcPr>
          <w:p>
            <w:pPr>
              <w:pStyle w:val="style0"/>
              <w:spacing w:lineRule="exact" w:line="240"/>
              <w:jc w:val="left"/>
              <w:rPr>
                <w:rFonts w:ascii="仿宋_GB2312" w:eastAsia="仿宋_GB2312" w:hint="eastAsia"/>
                <w:sz w:val="18"/>
                <w:szCs w:val="18"/>
              </w:rPr>
            </w:pP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885"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4</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标准</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安全生产领域有关的国家标准、行业标准、地方标准等</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jc w:val="center"/>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vMerge w:val="continue"/>
            <w:tcBorders/>
            <w:shd w:val="clear" w:color="auto" w:fill="auto"/>
            <w:vAlign w:val="center"/>
          </w:tcPr>
          <w:p>
            <w:pPr>
              <w:pStyle w:val="style0"/>
              <w:spacing w:lineRule="exact" w:line="240"/>
              <w:jc w:val="left"/>
              <w:rPr>
                <w:rFonts w:ascii="仿宋_GB2312" w:eastAsia="仿宋_GB2312" w:hint="eastAsia"/>
                <w:sz w:val="18"/>
                <w:szCs w:val="18"/>
              </w:rPr>
            </w:pP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5</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重大决策草案</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涉及管理相对人切身利益、需社会广泛知晓的重要改革方案等重大决策，决策前向社会公开决策草案、决策依据</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《政府信息公开条例》、《关于全面推进政务公开工作的意见》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按进展情况及时公开</w:t>
            </w:r>
          </w:p>
        </w:tc>
        <w:tc>
          <w:tcPr>
            <w:tcW w:w="900" w:type="dxa"/>
            <w:tcBorders/>
            <w:shd w:val="clear" w:color="auto" w:fill="auto"/>
            <w:vAlign w:val="center"/>
          </w:tcPr>
          <w:p>
            <w:pPr>
              <w:pStyle w:val="style0"/>
              <w:jc w:val="center"/>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■两微一端   ■公开查阅点 </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313"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6</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政策</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文件</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重大政策解读及回应</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有关重大政策的解读与回应，安全生产相关热点问题的解读与回应</w:t>
            </w:r>
          </w:p>
        </w:tc>
        <w:tc>
          <w:tcPr>
            <w:tcW w:w="2520" w:type="dxa"/>
            <w:tcBorders/>
            <w:shd w:val="clear" w:color="auto" w:fill="auto"/>
          </w:tcPr>
          <w:p>
            <w:pPr>
              <w:pStyle w:val="style0"/>
              <w:rPr/>
            </w:pPr>
            <w:r>
              <w:rPr>
                <w:rFonts w:ascii="仿宋_GB2312" w:eastAsia="仿宋_GB2312" w:hint="eastAsia"/>
                <w:bCs/>
                <w:color w:val="000000"/>
                <w:sz w:val="18"/>
                <w:szCs w:val="18"/>
              </w:rPr>
              <w:t>《政府信息公开条例》、《关于全面推进政务公开工作的意见》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重大决策作出后及时公开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■两微一端 </w:t>
            </w:r>
            <w:r>
              <w:rPr>
                <w:rFonts w:ascii="仿宋_GB2312" w:eastAsia="仿宋_GB2312" w:hint="eastAsia"/>
                <w:sz w:val="18"/>
                <w:szCs w:val="18"/>
              </w:rPr>
              <w:br/>
            </w:r>
            <w:r>
              <w:rPr>
                <w:rFonts w:ascii="仿宋_GB2312" w:eastAsia="仿宋_GB2312" w:hint="eastAsia"/>
                <w:sz w:val="18"/>
                <w:szCs w:val="18"/>
              </w:rPr>
              <w:t xml:space="preserve">■广播电视   </w:t>
            </w:r>
          </w:p>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 ■政务服务中</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r>
      <w:tr>
        <w:tblPrEx/>
        <w:trPr>
          <w:trHeight w:val="1240"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7</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重要会议</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通过会议讨论作出重要改革方案等重大决策时，经党组研究认为有必要公开讨论决策过程的会议</w:t>
            </w:r>
          </w:p>
        </w:tc>
        <w:tc>
          <w:tcPr>
            <w:tcW w:w="2520" w:type="dxa"/>
            <w:tcBorders/>
            <w:shd w:val="clear" w:color="auto" w:fill="auto"/>
          </w:tcPr>
          <w:p>
            <w:pPr>
              <w:pStyle w:val="style0"/>
              <w:rPr/>
            </w:pPr>
            <w:r>
              <w:rPr>
                <w:rFonts w:ascii="仿宋_GB2312" w:eastAsia="仿宋_GB2312" w:hint="eastAsia"/>
                <w:bCs/>
                <w:color w:val="000000"/>
                <w:sz w:val="18"/>
                <w:szCs w:val="18"/>
              </w:rPr>
              <w:t>《政府信息公开条例》、《关于全面推进政务公开工作的意见》</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提前一周发通知邀请</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■便民服务站</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918"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8</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征集采纳社会公众意见情况</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重大决策草案公布后征集到的社会公众意见情况、采纳与否情况及理由等</w:t>
            </w:r>
          </w:p>
        </w:tc>
        <w:tc>
          <w:tcPr>
            <w:tcW w:w="2520" w:type="dxa"/>
            <w:tcBorders/>
            <w:shd w:val="clear" w:color="auto" w:fill="auto"/>
          </w:tcPr>
          <w:p>
            <w:pPr>
              <w:pStyle w:val="style0"/>
              <w:rPr/>
            </w:pPr>
            <w:r>
              <w:rPr>
                <w:rFonts w:ascii="仿宋_GB2312" w:eastAsia="仿宋_GB2312" w:hint="eastAsia"/>
                <w:bCs/>
                <w:color w:val="000000"/>
                <w:sz w:val="18"/>
                <w:szCs w:val="18"/>
              </w:rPr>
              <w:t>《政府信息公开条例》、《关于全面推进政务公开工作的意见》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征求意见时对外公布的时限内公开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■公开查阅点 </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523"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9</w:t>
            </w:r>
          </w:p>
        </w:tc>
        <w:tc>
          <w:tcPr>
            <w:tcW w:w="90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依法</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行政</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行政许可</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办理行政许可和其他对外管理服务事项的依据、条件、程序</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■两微一端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10</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依法</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行政</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行政处罚</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办理行政处罚的依据、条件、程序以及本级行政机关认为具有一定社会影响的行政处罚决定</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687"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11</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行政强制</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办理行政强制的依据、条件、程序</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《政府信息公开条例》、《突发事件应对法》、《突发事件应急预案管理办法》、《中共中央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553"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12</w:t>
            </w:r>
          </w:p>
        </w:tc>
        <w:tc>
          <w:tcPr>
            <w:tcW w:w="90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行政</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管理</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隐患管理</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重大隐患排查、挂牌督办及其整改情况，安全生产举报电话等</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《安全生产法》、《政府信息公开条例》、《中共中央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■广播电视   ■公开查阅点</w:t>
            </w:r>
          </w:p>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■公示栏</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552"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13</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行政</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管理</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应急管理</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xml:space="preserve">承担处置主责、非敏感的应急信息，包括事故灾害类预警信息、事故信息、事故后采取的应急处置措施和应对结果等  </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《政府信息公开条例》、《突发事件应对法》、《关于全面加强政务公开工作的意见》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■公开查阅点 ■政务服务中心</w:t>
            </w:r>
            <w:r>
              <w:rPr>
                <w:rFonts w:ascii="仿宋_GB2312" w:eastAsia="仿宋_GB2312" w:hint="eastAsia"/>
                <w:sz w:val="18"/>
                <w:szCs w:val="18"/>
              </w:rPr>
              <w:br/>
            </w:r>
            <w:r>
              <w:rPr>
                <w:rFonts w:ascii="仿宋_GB2312" w:eastAsia="仿宋_GB2312" w:hint="eastAsia"/>
                <w:sz w:val="18"/>
                <w:szCs w:val="18"/>
              </w:rPr>
              <w:t>■便民服务站</w:t>
            </w:r>
          </w:p>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■公示栏</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552"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14</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黑名单管理</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列入或撤销纳入安全生产黑名单管理的企业信息，具体企业名称、证照编号、经营地址、负责人姓名等</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《政府信息公开条例》、《社会信用体系建设规划纲要（2014-2020年）》</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信息形成或变更之日起20个工作日内</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■公开查阅点 ■政务服务中心</w:t>
            </w:r>
            <w:r>
              <w:rPr>
                <w:rFonts w:ascii="仿宋_GB2312" w:eastAsia="仿宋_GB2312" w:hint="eastAsia"/>
                <w:sz w:val="18"/>
                <w:szCs w:val="18"/>
              </w:rPr>
              <w:br/>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15</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行政</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管理</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事故通报</w:t>
            </w:r>
          </w:p>
        </w:tc>
        <w:tc>
          <w:tcPr>
            <w:tcW w:w="2520" w:type="dxa"/>
            <w:tcBorders/>
            <w:shd w:val="clear" w:color="auto" w:fill="auto"/>
            <w:vAlign w:val="center"/>
          </w:tcPr>
          <w:p>
            <w:pPr>
              <w:pStyle w:val="style0"/>
              <w:jc w:val="left"/>
              <w:rPr>
                <w:rFonts w:ascii="仿宋_GB2312" w:cs="宋体" w:eastAsia="仿宋_GB2312" w:hAnsi="宋体" w:hint="eastAsia"/>
                <w:bCs/>
                <w:sz w:val="18"/>
                <w:szCs w:val="18"/>
              </w:rPr>
            </w:pPr>
            <w:r>
              <w:rPr>
                <w:rFonts w:ascii="仿宋_GB2312" w:eastAsia="仿宋_GB2312" w:hint="eastAsia"/>
                <w:bCs/>
                <w:sz w:val="18"/>
                <w:szCs w:val="1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《安全生产法》、《政府信息公开条例》、《中共中央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按照中央有关要求公开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525"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16</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动态信息</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业务工作动态、安全生产执法检查动态</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■发布会</w:t>
            </w:r>
            <w:r>
              <w:rPr>
                <w:rFonts w:ascii="仿宋_GB2312" w:eastAsia="仿宋_GB2312" w:hint="eastAsia"/>
                <w:sz w:val="18"/>
                <w:szCs w:val="18"/>
              </w:rPr>
              <w:br/>
            </w:r>
            <w:r>
              <w:rPr>
                <w:rFonts w:ascii="仿宋_GB2312" w:eastAsia="仿宋_GB2312" w:hint="eastAsia"/>
                <w:sz w:val="18"/>
                <w:szCs w:val="18"/>
              </w:rPr>
              <w:t>■广播电视   ■纸质媒体</w:t>
            </w:r>
            <w:r>
              <w:rPr>
                <w:rFonts w:ascii="仿宋_GB2312" w:eastAsia="仿宋_GB2312" w:hint="eastAsia"/>
                <w:sz w:val="18"/>
                <w:szCs w:val="18"/>
              </w:rPr>
              <w:br/>
            </w:r>
            <w:r>
              <w:rPr>
                <w:rFonts w:ascii="仿宋_GB2312" w:eastAsia="仿宋_GB2312" w:hint="eastAsia"/>
                <w:sz w:val="18"/>
                <w:szCs w:val="18"/>
              </w:rPr>
              <w:t>■其他</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2798"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17</w:t>
            </w:r>
          </w:p>
        </w:tc>
        <w:tc>
          <w:tcPr>
            <w:tcW w:w="90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行政</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管理</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安全生产预警提示信息</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气象及灾害预警信息            不同时段、不同领域安全生产提示信息</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信息形成后及时公开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■两微一端   ■发布会</w:t>
            </w:r>
            <w:r>
              <w:rPr>
                <w:rFonts w:ascii="仿宋_GB2312" w:eastAsia="仿宋_GB2312" w:hint="eastAsia"/>
                <w:sz w:val="18"/>
                <w:szCs w:val="18"/>
              </w:rPr>
              <w:br/>
            </w:r>
            <w:r>
              <w:rPr>
                <w:rFonts w:ascii="仿宋_GB2312" w:eastAsia="仿宋_GB2312" w:hint="eastAsia"/>
                <w:sz w:val="18"/>
                <w:szCs w:val="18"/>
              </w:rPr>
              <w:t>■广播电视   ■纸质媒体</w:t>
            </w:r>
          </w:p>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■便民服务站 ■入户/现场</w:t>
            </w:r>
            <w:r>
              <w:rPr>
                <w:rFonts w:ascii="仿宋_GB2312" w:eastAsia="仿宋_GB2312" w:hint="eastAsia"/>
                <w:sz w:val="18"/>
                <w:szCs w:val="18"/>
              </w:rPr>
              <w:br/>
            </w:r>
            <w:r>
              <w:rPr>
                <w:rFonts w:ascii="仿宋_GB2312" w:eastAsia="仿宋_GB2312" w:hint="eastAsia"/>
                <w:sz w:val="18"/>
                <w:szCs w:val="18"/>
              </w:rPr>
              <w:t>■社区/企事业单位、村公示栏（电子屏）</w:t>
            </w:r>
            <w:r>
              <w:rPr>
                <w:rFonts w:ascii="仿宋_GB2312" w:eastAsia="仿宋_GB2312" w:hint="eastAsia"/>
                <w:sz w:val="18"/>
                <w:szCs w:val="18"/>
              </w:rPr>
              <w:br/>
            </w:r>
            <w:r>
              <w:rPr>
                <w:rFonts w:ascii="仿宋_GB2312" w:eastAsia="仿宋_GB2312" w:hint="eastAsia"/>
                <w:sz w:val="18"/>
                <w:szCs w:val="18"/>
              </w:rPr>
              <w:t>■精准推送   ■其他</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399"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18</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公共</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服务</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政务公开目录</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政务公开事项的索引、名称、内容概述、生成日期等</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389"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19</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政务公开标准</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政府信息公开指南等流程性信息</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20</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公共</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服务</w:t>
            </w: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权力清单及责任清单</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同级政府审批通过的行政执法主体信息和行政许可、行政处罚、行政强制、行政检查、行政确认、行政奖励及其他行政职权等行政执法职权职责清单</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信息形成或者变更20个工作日内，如有更新，及时公开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21</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主要业务办事指南</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主要业务工作的办事依据、程序、时限，办事时间、地点、部门、联系方式及相关办理结果</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信息形成或者变更之日起20个工作日内</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22</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年度报告</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政府信息公开年度报告及相关统计报表</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《政府信息公开条例》</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每年1月31日前</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23</w:t>
            </w:r>
          </w:p>
        </w:tc>
        <w:tc>
          <w:tcPr>
            <w:tcW w:w="90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重点</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领域</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信息</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公开</w:t>
            </w: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财政资金信息</w:t>
            </w:r>
          </w:p>
        </w:tc>
        <w:tc>
          <w:tcPr>
            <w:tcW w:w="2520" w:type="dxa"/>
            <w:tcBorders/>
            <w:shd w:val="clear" w:color="auto" w:fill="auto"/>
            <w:vAlign w:val="center"/>
          </w:tcPr>
          <w:p>
            <w:pPr>
              <w:pStyle w:val="style0"/>
              <w:rPr>
                <w:rFonts w:ascii="仿宋_GB2312" w:eastAsia="仿宋_GB2312" w:hint="eastAsia"/>
                <w:bCs/>
                <w:sz w:val="18"/>
                <w:szCs w:val="18"/>
              </w:rPr>
            </w:pPr>
            <w:r>
              <w:rPr>
                <w:rFonts w:ascii="仿宋_GB2312" w:eastAsia="仿宋_GB2312" w:hint="eastAsia"/>
                <w:bCs/>
                <w:sz w:val="18"/>
                <w:szCs w:val="18"/>
              </w:rPr>
              <w:t>预算、决算</w:t>
            </w:r>
          </w:p>
          <w:p>
            <w:pPr>
              <w:pStyle w:val="style0"/>
              <w:rPr>
                <w:rFonts w:ascii="仿宋_GB2312" w:eastAsia="仿宋_GB2312" w:hint="eastAsia"/>
                <w:bCs/>
                <w:sz w:val="18"/>
                <w:szCs w:val="18"/>
              </w:rPr>
            </w:pPr>
            <w:r>
              <w:rPr>
                <w:rFonts w:ascii="仿宋_GB2312" w:eastAsia="仿宋_GB2312" w:hint="eastAsia"/>
                <w:bCs/>
                <w:sz w:val="18"/>
                <w:szCs w:val="18"/>
              </w:rPr>
              <w:t xml:space="preserve"> “三公”经费</w:t>
            </w:r>
          </w:p>
          <w:p>
            <w:pPr>
              <w:pStyle w:val="style0"/>
              <w:rPr>
                <w:rFonts w:ascii="仿宋_GB2312" w:cs="宋体" w:eastAsia="仿宋_GB2312" w:hAnsi="宋体" w:hint="eastAsia"/>
                <w:bCs/>
                <w:sz w:val="18"/>
                <w:szCs w:val="18"/>
              </w:rPr>
            </w:pPr>
            <w:r>
              <w:rPr>
                <w:rFonts w:ascii="仿宋_GB2312" w:eastAsia="仿宋_GB2312" w:hint="eastAsia"/>
                <w:bCs/>
                <w:sz w:val="18"/>
                <w:szCs w:val="18"/>
              </w:rPr>
              <w:t>安全生产专项资金使用等财政资金信息</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《政府信息公开条例》、《国务院关于深化预算管理制度改革的决定》、《国务院办公厅关于进一步推进预算公开工作意见的通知》</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按中央要求时限公开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685"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24</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重点</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领域</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信息</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公开</w:t>
            </w: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政府采购信息</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本单位采购实施情况相关信息</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《政府信息公开条例》、《国务院关于深化预算管理制度改革的决定》、中办、国办印发《关于进一步推进预算公开工作的意见》的通知</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395"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25</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办事纪律和监督管理</w:t>
            </w:r>
          </w:p>
        </w:tc>
        <w:tc>
          <w:tcPr>
            <w:tcW w:w="25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本单位的办事纪律,受理投诉、举报、信访的途径等内容</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26</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重点</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领域</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信息</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公开</w:t>
            </w: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重大工程项目信息</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项目名称、执行措施、责任分工、取得成效、后续举措等</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《政府信息公开条例》、《国务院办公厅关于推进重大建设项目批准和实施领域政府信息公开的意见》</w:t>
            </w:r>
          </w:p>
        </w:tc>
        <w:tc>
          <w:tcPr>
            <w:tcW w:w="180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按照中央有关要求公开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■政府网站</w:t>
            </w:r>
            <w:r>
              <w:rPr>
                <w:rFonts w:ascii="仿宋_GB2312" w:eastAsia="仿宋_GB2312" w:hint="eastAsia"/>
                <w:sz w:val="18"/>
                <w:szCs w:val="18"/>
              </w:rPr>
              <w:br/>
            </w:r>
            <w:r>
              <w:rPr>
                <w:rFonts w:ascii="仿宋_GB2312" w:eastAsia="仿宋_GB2312" w:hint="eastAsia"/>
                <w:sz w:val="18"/>
                <w:szCs w:val="18"/>
              </w:rPr>
              <w:t>■公开查阅点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086"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27</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检查和巡查发现安全监管监察问题</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检查和巡查发现的、并要求向社会公开的问题及整改落实情况</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《政府信息公开条例》、《中共中央 国务院关于推进安全生产领域改革发展的意见》</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按进展情况及时公开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   ■公开查阅点 ■政务服务中心</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sz w:val="18"/>
                <w:szCs w:val="18"/>
              </w:rPr>
            </w:pPr>
          </w:p>
        </w:tc>
      </w:tr>
      <w:tr>
        <w:tblPrEx/>
        <w:trPr>
          <w:trHeight w:val="1687"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28</w:t>
            </w:r>
          </w:p>
        </w:tc>
        <w:tc>
          <w:tcPr>
            <w:tcW w:w="900" w:type="dxa"/>
            <w:vMerge w:val="continue"/>
            <w:tcBorders/>
            <w:shd w:val="clear" w:color="auto" w:fill="auto"/>
            <w:vAlign w:val="center"/>
          </w:tcPr>
          <w:p>
            <w:pPr>
              <w:pStyle w:val="style0"/>
              <w:rPr>
                <w:rFonts w:ascii="仿宋_GB2312" w:cs="宋体" w:eastAsia="仿宋_GB2312" w:hAnsi="宋体" w:hint="eastAsia"/>
                <w:color w:val="000000"/>
                <w:sz w:val="18"/>
                <w:szCs w:val="18"/>
              </w:rPr>
            </w:pPr>
          </w:p>
        </w:tc>
        <w:tc>
          <w:tcPr>
            <w:tcW w:w="108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建议提案办理</w:t>
            </w:r>
          </w:p>
        </w:tc>
        <w:tc>
          <w:tcPr>
            <w:tcW w:w="2520" w:type="dxa"/>
            <w:tcBorders/>
            <w:shd w:val="clear" w:color="auto" w:fill="auto"/>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xml:space="preserve">办理制度与推进情况            </w:t>
            </w:r>
          </w:p>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xml:space="preserve">人大代表建议办理              </w:t>
            </w:r>
          </w:p>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政协委员提案办理</w:t>
            </w:r>
          </w:p>
        </w:tc>
        <w:tc>
          <w:tcPr>
            <w:tcW w:w="25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《政府信息公开条例》、《国务院办公厅关于做好全国人大代表建议和全国政协委员提案办理结果公开工作的通知》</w:t>
            </w:r>
          </w:p>
        </w:tc>
        <w:tc>
          <w:tcPr>
            <w:tcW w:w="18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按照中央有关要求公开</w:t>
            </w:r>
          </w:p>
        </w:tc>
        <w:tc>
          <w:tcPr>
            <w:tcW w:w="90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应急管理部门</w:t>
            </w:r>
          </w:p>
        </w:tc>
        <w:tc>
          <w:tcPr>
            <w:tcW w:w="1496" w:type="dxa"/>
            <w:tcBorders/>
            <w:shd w:val="clear" w:color="auto" w:fill="auto"/>
            <w:vAlign w:val="center"/>
          </w:tcPr>
          <w:p>
            <w:pPr>
              <w:pStyle w:val="style0"/>
              <w:spacing w:lineRule="exact" w:line="240"/>
              <w:jc w:val="left"/>
              <w:rPr>
                <w:rFonts w:ascii="仿宋_GB2312" w:cs="宋体" w:eastAsia="仿宋_GB2312" w:hAnsi="宋体" w:hint="eastAsia"/>
                <w:bCs/>
                <w:sz w:val="18"/>
                <w:szCs w:val="18"/>
              </w:rPr>
            </w:pPr>
            <w:r>
              <w:rPr>
                <w:rFonts w:ascii="仿宋_GB2312" w:eastAsia="仿宋_GB2312" w:hint="eastAsia"/>
                <w:sz w:val="18"/>
                <w:szCs w:val="18"/>
              </w:rPr>
              <w:t>■政府网站   ■公开查阅点 ■政务服务中心</w:t>
            </w:r>
            <w:r>
              <w:rPr>
                <w:rFonts w:ascii="仿宋_GB2312" w:eastAsia="仿宋_GB2312" w:hint="eastAsia"/>
                <w:sz w:val="18"/>
                <w:szCs w:val="18"/>
              </w:rPr>
              <w:br/>
            </w:r>
            <w:r>
              <w:rPr>
                <w:rFonts w:ascii="仿宋_GB2312" w:eastAsia="仿宋_GB2312" w:hint="eastAsia"/>
                <w:sz w:val="18"/>
                <w:szCs w:val="18"/>
              </w:rPr>
              <w:t>■便民服务站</w:t>
            </w:r>
          </w:p>
        </w:tc>
        <w:tc>
          <w:tcPr>
            <w:tcW w:w="664"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cs="宋体" w:eastAsia="仿宋_GB2312" w:hAnsi="宋体"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cs="宋体" w:eastAsia="仿宋_GB2312" w:hAnsi="宋体" w:hint="eastAsia"/>
                <w:bCs/>
                <w:color w:val="000000"/>
                <w:sz w:val="18"/>
                <w:szCs w:val="18"/>
              </w:rPr>
            </w:pPr>
            <w:r>
              <w:rPr>
                <w:rFonts w:ascii="仿宋_GB2312" w:eastAsia="仿宋_GB2312" w:hint="eastAsia"/>
                <w:bCs/>
                <w:color w:val="000000"/>
                <w:sz w:val="18"/>
                <w:szCs w:val="18"/>
              </w:rPr>
              <w:t>　</w:t>
            </w:r>
          </w:p>
        </w:tc>
      </w:tr>
      <w:tr>
        <w:tblPrEx/>
        <w:trPr>
          <w:trHeight w:val="1687" w:hRule="atLeast"/>
        </w:trPr>
        <w:tc>
          <w:tcPr>
            <w:tcW w:w="540" w:type="dxa"/>
            <w:tcBorders/>
            <w:shd w:val="clear" w:color="auto" w:fill="auto"/>
            <w:vAlign w:val="center"/>
          </w:tcPr>
          <w:p>
            <w:pPr>
              <w:pStyle w:val="style0"/>
              <w:jc w:val="center"/>
              <w:rPr>
                <w:rFonts w:ascii="仿宋_GB2312" w:cs="宋体" w:eastAsia="仿宋_GB2312" w:hAnsi="宋体" w:hint="eastAsia"/>
                <w:color w:val="000000"/>
                <w:sz w:val="18"/>
                <w:szCs w:val="18"/>
                <w:lang w:val="en-US" w:eastAsia="zh-CN"/>
              </w:rPr>
            </w:pPr>
            <w:r>
              <w:rPr>
                <w:rFonts w:ascii="仿宋_GB2312" w:cs="宋体" w:eastAsia="仿宋_GB2312" w:hAnsi="宋体" w:hint="eastAsia"/>
                <w:color w:val="000000"/>
                <w:sz w:val="18"/>
                <w:szCs w:val="18"/>
                <w:lang w:val="en-US" w:eastAsia="zh-CN"/>
              </w:rPr>
              <w:t>29</w:t>
            </w:r>
          </w:p>
        </w:tc>
        <w:tc>
          <w:tcPr>
            <w:tcW w:w="900" w:type="dxa"/>
            <w:vMerge w:val="restart"/>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lang w:eastAsia="zh-CN"/>
              </w:rPr>
              <w:t>行政许可</w:t>
            </w:r>
          </w:p>
        </w:tc>
        <w:tc>
          <w:tcPr>
            <w:tcW w:w="1080" w:type="dxa"/>
            <w:tcBorders/>
            <w:shd w:val="clear" w:color="auto" w:fill="auto"/>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危险化学品经营许可证核发（新领）</w:t>
            </w:r>
          </w:p>
        </w:tc>
        <w:tc>
          <w:tcPr>
            <w:tcW w:w="2520" w:type="dxa"/>
            <w:tcBorders/>
            <w:shd w:val="clear" w:color="auto" w:fill="auto"/>
            <w:vAlign w:val="center"/>
          </w:tcPr>
          <w:p>
            <w:pPr>
              <w:pStyle w:val="style0"/>
              <w:rPr>
                <w:rFonts w:ascii="仿宋_GB2312" w:eastAsia="仿宋_GB2312" w:hint="eastAsia"/>
                <w:bCs/>
                <w:color w:val="000000"/>
                <w:sz w:val="18"/>
                <w:szCs w:val="18"/>
              </w:rPr>
            </w:pPr>
            <w:r>
              <w:rPr>
                <w:rFonts w:ascii="仿宋_GB2312" w:eastAsia="仿宋_GB2312" w:hAnsi="宋体" w:hint="eastAsia"/>
                <w:color w:val="000000"/>
                <w:sz w:val="18"/>
                <w:szCs w:val="18"/>
                <w:lang w:eastAsia="zh-CN"/>
              </w:rPr>
              <w:t>申请危险化学品许可证核发（新领）</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shd w:val="clear" w:color="auto" w:fill="auto"/>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"http://www.gd.gov.cn/zwgk/wjk/zcfgk/content/post_2711515.html"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《广东省人民政府2012年行政审批制度改革事项目录（第一批）》</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"http://www.gd.gov.cn/zwgk/wjk/zcfgk/content/post_2525021.html"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危险化学品安全管理条例</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》第三十三条、第三十五条、</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"http://www.gd.gov.cn/zwgk/wjk/zcfgk/content/post_2521136.html"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《危险化学品经营许可证管理办法》</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第五条</w:t>
            </w:r>
          </w:p>
        </w:tc>
        <w:tc>
          <w:tcPr>
            <w:tcW w:w="1800" w:type="dxa"/>
            <w:tcBorders/>
            <w:shd w:val="clear" w:color="auto" w:fill="auto"/>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30</w:t>
            </w:r>
            <w:r>
              <w:rPr>
                <w:rFonts w:ascii="仿宋_GB2312" w:eastAsia="仿宋_GB2312" w:hint="eastAsia"/>
                <w:bCs/>
                <w:color w:val="000000"/>
                <w:sz w:val="18"/>
                <w:szCs w:val="18"/>
              </w:rPr>
              <w:t>个工作日内</w:t>
            </w:r>
          </w:p>
        </w:tc>
        <w:tc>
          <w:tcPr>
            <w:tcW w:w="900" w:type="dxa"/>
            <w:tcBorders/>
            <w:shd w:val="clear" w:color="auto" w:fill="auto"/>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tc>
        <w:tc>
          <w:tcPr>
            <w:tcW w:w="664" w:type="dxa"/>
            <w:tcBorders/>
            <w:shd w:val="clear" w:color="auto" w:fill="auto"/>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shd w:val="clear" w:color="auto" w:fill="auto"/>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shd w:val="clear" w:color="auto" w:fill="auto"/>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shd w:val="clear" w:color="auto" w:fill="auto"/>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shd w:val="clear" w:color="auto" w:fill="auto"/>
            <w:vAlign w:val="center"/>
          </w:tcPr>
          <w:p>
            <w:pPr>
              <w:pStyle w:val="style0"/>
              <w:rPr>
                <w:rFonts w:ascii="仿宋_GB2312" w:eastAsia="仿宋_GB2312" w:hint="eastAsia"/>
                <w:bCs/>
                <w:color w:val="000000"/>
                <w:sz w:val="18"/>
                <w:szCs w:val="18"/>
              </w:rPr>
            </w:pPr>
          </w:p>
        </w:tc>
      </w:tr>
      <w:tr>
        <w:tblPrEx/>
        <w:trPr>
          <w:trHeight w:val="1687" w:hRule="atLeast"/>
        </w:trPr>
        <w:tc>
          <w:tcPr>
            <w:tcW w:w="540" w:type="dxa"/>
            <w:tcBorders/>
            <w:vAlign w:val="center"/>
          </w:tcPr>
          <w:p>
            <w:pPr>
              <w:pStyle w:val="style0"/>
              <w:jc w:val="center"/>
              <w:rPr>
                <w:rFonts w:ascii="仿宋_GB2312" w:cs="宋体" w:eastAsia="仿宋_GB2312" w:hAnsi="宋体" w:hint="eastAsia"/>
                <w:color w:val="000000"/>
                <w:sz w:val="18"/>
                <w:szCs w:val="18"/>
                <w:lang w:val="en-US" w:eastAsia="zh-CN"/>
              </w:rPr>
            </w:pPr>
            <w:r>
              <w:rPr>
                <w:rFonts w:ascii="仿宋_GB2312" w:cs="宋体" w:eastAsia="仿宋_GB2312" w:hAnsi="宋体" w:hint="eastAsia"/>
                <w:color w:val="000000"/>
                <w:sz w:val="18"/>
                <w:szCs w:val="18"/>
                <w:lang w:val="en-US" w:eastAsia="zh-CN"/>
              </w:rPr>
              <w:t>30</w:t>
            </w:r>
          </w:p>
        </w:tc>
        <w:tc>
          <w:tcPr>
            <w:tcW w:w="900" w:type="dxa"/>
            <w:vMerge w:val="continue"/>
            <w:tcBorders/>
            <w:vAlign w:val="center"/>
          </w:tcPr>
          <w:p>
            <w:pPr>
              <w:pStyle w:val="style0"/>
              <w:rPr>
                <w:rFonts w:ascii="仿宋_GB2312" w:cs="宋体" w:eastAsia="仿宋_GB2312" w:hAnsi="宋体" w:hint="eastAsia"/>
                <w:color w:val="000000"/>
                <w:sz w:val="18"/>
                <w:szCs w:val="18"/>
              </w:rPr>
            </w:pPr>
          </w:p>
        </w:tc>
        <w:tc>
          <w:tcPr>
            <w:tcW w:w="108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危险化学品经营许可证核发（变更）</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Ansi="宋体" w:hint="eastAsia"/>
                <w:color w:val="000000"/>
                <w:sz w:val="18"/>
                <w:szCs w:val="18"/>
                <w:lang w:eastAsia="zh-CN"/>
              </w:rPr>
              <w:t>申请</w:t>
            </w:r>
            <w:r>
              <w:rPr>
                <w:rFonts w:ascii="仿宋_GB2312" w:eastAsia="仿宋_GB2312" w:hint="eastAsia"/>
                <w:bCs/>
                <w:color w:val="000000"/>
                <w:sz w:val="18"/>
                <w:szCs w:val="18"/>
              </w:rPr>
              <w:t>危险化学品经营许可证核发（变更）</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"http://www.gd.gov.cn/zwgk/wjk/zcfgk/content/post_2711515.html"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《广东省人民政府2012年行政审批制度改革事项目录（第一批）》</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"http://www.gd.gov.cn/zwgk/wjk/zcfgk/content/post_2521136.html"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《危险化学品经营许可证管理办法》</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第五条、</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"http://www.gd.gov.cn/zwgk/wjk/zcfgk/content/post_2712325.html"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《广东省人民政府第四轮行政审批事项调整目录》</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"http://www.gd.gov.cn/zwgk/wjk/zcfgk/content/post_2525021.html"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危险化学品安全管理条例</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》第三十三条、第三十五条</w:t>
            </w:r>
          </w:p>
        </w:tc>
        <w:tc>
          <w:tcPr>
            <w:tcW w:w="18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信息形成或变更之日起20个工作日内</w:t>
            </w:r>
          </w:p>
        </w:tc>
        <w:tc>
          <w:tcPr>
            <w:tcW w:w="9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tc>
        <w:tc>
          <w:tcPr>
            <w:tcW w:w="664"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vAlign w:val="center"/>
          </w:tcPr>
          <w:p>
            <w:pPr>
              <w:pStyle w:val="style0"/>
              <w:rPr>
                <w:rFonts w:ascii="仿宋_GB2312" w:eastAsia="仿宋_GB2312" w:hint="eastAsia"/>
                <w:bCs/>
                <w:color w:val="000000"/>
                <w:sz w:val="18"/>
                <w:szCs w:val="18"/>
              </w:rPr>
            </w:pPr>
          </w:p>
        </w:tc>
      </w:tr>
      <w:tr>
        <w:tblPrEx/>
        <w:trPr>
          <w:trHeight w:val="1687" w:hRule="atLeast"/>
        </w:trPr>
        <w:tc>
          <w:tcPr>
            <w:tcW w:w="540" w:type="dxa"/>
            <w:tcBorders/>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3</w:t>
            </w:r>
            <w:r>
              <w:rPr>
                <w:rFonts w:ascii="仿宋_GB2312" w:cs="宋体" w:eastAsia="仿宋_GB2312" w:hAnsi="宋体" w:hint="eastAsia"/>
                <w:color w:val="000000"/>
                <w:sz w:val="18"/>
                <w:szCs w:val="18"/>
                <w:lang w:val="en-US" w:eastAsia="zh-CN"/>
              </w:rPr>
              <w:t>1</w:t>
            </w:r>
          </w:p>
        </w:tc>
        <w:tc>
          <w:tcPr>
            <w:tcW w:w="900" w:type="dxa"/>
            <w:vMerge w:val="continue"/>
            <w:tcBorders/>
            <w:vAlign w:val="center"/>
          </w:tcPr>
          <w:p>
            <w:pPr>
              <w:pStyle w:val="style0"/>
              <w:rPr>
                <w:rFonts w:ascii="仿宋_GB2312" w:cs="宋体" w:eastAsia="仿宋_GB2312" w:hAnsi="宋体" w:hint="eastAsia"/>
                <w:color w:val="000000"/>
                <w:sz w:val="18"/>
                <w:szCs w:val="18"/>
              </w:rPr>
            </w:pPr>
          </w:p>
        </w:tc>
        <w:tc>
          <w:tcPr>
            <w:tcW w:w="108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危险化学品经营许可证核发（延期）</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Ansi="宋体" w:hint="eastAsia"/>
                <w:color w:val="000000"/>
                <w:sz w:val="18"/>
                <w:szCs w:val="18"/>
                <w:lang w:eastAsia="zh-CN"/>
              </w:rPr>
              <w:t>申请</w:t>
            </w:r>
            <w:r>
              <w:rPr>
                <w:rFonts w:ascii="仿宋_GB2312" w:eastAsia="仿宋_GB2312" w:hint="eastAsia"/>
                <w:bCs/>
                <w:color w:val="000000"/>
                <w:sz w:val="18"/>
                <w:szCs w:val="18"/>
              </w:rPr>
              <w:t>危险化学品经营许可证核发（延期）</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"http://www.gd.gov.cn/zwgk/wjk/zcfgk/content/post_2521136.html"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《危险化学品经营许可证管理办法》</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第五条、</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"http://www.gd.gov.cn/zwgk/wjk/zcfgk/content/post_2711515.html"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《广东省人民政府2012年行政审批制度改革事项目录（第一批）》</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"http://www.gd.gov.cn/zwgk/wjk/zcfgk/content/post_2525021.html"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危险化学品安全管理条例</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》第三十三条、第三十五条、</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"http://www.gd.gov.cn/zwgk/wjk/zcfgk/content/post_2712325.html"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《广东省人民政府第四轮行政审批事项调整目录》</w:t>
            </w:r>
            <w:r>
              <w:rPr>
                <w:rFonts w:ascii="仿宋_GB2312" w:eastAsia="仿宋_GB2312" w:hint="default"/>
                <w:bCs/>
                <w:color w:val="000000"/>
                <w:sz w:val="18"/>
                <w:szCs w:val="18"/>
              </w:rPr>
              <w:fldChar w:fldCharType="end"/>
            </w:r>
          </w:p>
        </w:tc>
        <w:tc>
          <w:tcPr>
            <w:tcW w:w="18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3</w:t>
            </w:r>
            <w:r>
              <w:rPr>
                <w:rFonts w:ascii="仿宋_GB2312" w:eastAsia="仿宋_GB2312" w:hint="eastAsia"/>
                <w:bCs/>
                <w:color w:val="000000"/>
                <w:sz w:val="18"/>
                <w:szCs w:val="18"/>
              </w:rPr>
              <w:t>0个工作日内</w:t>
            </w:r>
          </w:p>
        </w:tc>
        <w:tc>
          <w:tcPr>
            <w:tcW w:w="9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vAlign w:val="center"/>
          </w:tcPr>
          <w:p>
            <w:pPr>
              <w:pStyle w:val="style0"/>
              <w:spacing w:lineRule="exact" w:line="240"/>
              <w:jc w:val="left"/>
              <w:rPr>
                <w:rFonts w:ascii="仿宋_GB2312" w:eastAsia="仿宋_GB2312" w:hint="eastAsia"/>
                <w:b/>
                <w:bCs/>
                <w:sz w:val="18"/>
                <w:szCs w:val="18"/>
              </w:rPr>
            </w:pPr>
            <w:r>
              <w:rPr>
                <w:rFonts w:ascii="仿宋_GB2312" w:eastAsia="仿宋_GB2312" w:hint="eastAsia"/>
                <w:sz w:val="18"/>
                <w:szCs w:val="18"/>
              </w:rPr>
              <w:t xml:space="preserve">■政府网站   </w:t>
            </w:r>
          </w:p>
        </w:tc>
        <w:tc>
          <w:tcPr>
            <w:tcW w:w="664"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vAlign w:val="center"/>
          </w:tcPr>
          <w:p>
            <w:pPr>
              <w:pStyle w:val="style0"/>
              <w:rPr>
                <w:rFonts w:ascii="仿宋_GB2312" w:eastAsia="仿宋_GB2312" w:hint="eastAsia"/>
                <w:bCs/>
                <w:color w:val="000000"/>
                <w:sz w:val="18"/>
                <w:szCs w:val="18"/>
              </w:rPr>
            </w:pPr>
          </w:p>
        </w:tc>
      </w:tr>
      <w:tr>
        <w:tblPrEx/>
        <w:trPr>
          <w:trHeight w:val="1687" w:hRule="atLeast"/>
        </w:trPr>
        <w:tc>
          <w:tcPr>
            <w:tcW w:w="540" w:type="dxa"/>
            <w:tcBorders/>
            <w:vAlign w:val="center"/>
          </w:tcPr>
          <w:p>
            <w:pPr>
              <w:pStyle w:val="style0"/>
              <w:jc w:val="center"/>
              <w:rPr>
                <w:rFonts w:ascii="仿宋_GB2312" w:cs="宋体" w:eastAsia="仿宋_GB2312" w:hAnsi="宋体" w:hint="eastAsia"/>
                <w:color w:val="000000"/>
                <w:sz w:val="18"/>
                <w:szCs w:val="18"/>
                <w:lang w:val="en-US" w:eastAsia="zh-CN"/>
              </w:rPr>
            </w:pPr>
            <w:r>
              <w:rPr>
                <w:rFonts w:ascii="仿宋_GB2312" w:cs="宋体" w:eastAsia="仿宋_GB2312" w:hAnsi="宋体" w:hint="eastAsia"/>
                <w:color w:val="000000"/>
                <w:sz w:val="18"/>
                <w:szCs w:val="18"/>
                <w:lang w:val="en-US" w:eastAsia="zh-CN"/>
              </w:rPr>
              <w:t>32</w:t>
            </w:r>
          </w:p>
        </w:tc>
        <w:tc>
          <w:tcPr>
            <w:tcW w:w="900" w:type="dxa"/>
            <w:vMerge w:val="continue"/>
            <w:tcBorders/>
            <w:vAlign w:val="center"/>
          </w:tcPr>
          <w:p>
            <w:pPr>
              <w:pStyle w:val="style0"/>
              <w:rPr>
                <w:rFonts w:ascii="仿宋_GB2312" w:cs="宋体" w:eastAsia="仿宋_GB2312" w:hAnsi="宋体" w:hint="eastAsia"/>
                <w:color w:val="000000"/>
                <w:sz w:val="18"/>
                <w:szCs w:val="18"/>
              </w:rPr>
            </w:pPr>
          </w:p>
        </w:tc>
        <w:tc>
          <w:tcPr>
            <w:tcW w:w="108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危险化学品经营许可证（注销）</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Ansi="宋体" w:hint="eastAsia"/>
                <w:color w:val="000000"/>
                <w:sz w:val="18"/>
                <w:szCs w:val="18"/>
                <w:lang w:eastAsia="zh-CN"/>
              </w:rPr>
              <w:t>申请</w:t>
            </w:r>
            <w:r>
              <w:rPr>
                <w:rFonts w:ascii="仿宋_GB2312" w:eastAsia="仿宋_GB2312" w:hint="eastAsia"/>
                <w:bCs/>
                <w:color w:val="000000"/>
                <w:sz w:val="18"/>
                <w:szCs w:val="18"/>
              </w:rPr>
              <w:t>危险化学品经营许可证（注销）</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"http://www.gd.gov.cn/zwgk/wjk/zcfgk/content/post_2712325.html"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《广东省人民政府第四轮行政审批事项调整目录》</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"http://www.gd.gov.cn/zwgk/wjk/zcfgk/content/post_2521136.html"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《危险化学品经营许可证管理办法》</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第五条、</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"http://www.gd.gov.cn/zwgk/wjk/zcfgk/content/post_2711515.html"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《广东省人民政府2012年行政审批制度改革事项目录（第一批）》</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"http://www.gd.gov.cn/zwgk/wjk/zcfgk/content/post_2525021.html"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危险化学品安全管理条例</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》第三十三条、第三十五条</w:t>
            </w:r>
          </w:p>
        </w:tc>
        <w:tc>
          <w:tcPr>
            <w:tcW w:w="18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45</w:t>
            </w:r>
            <w:r>
              <w:rPr>
                <w:rFonts w:ascii="仿宋_GB2312" w:eastAsia="仿宋_GB2312" w:hint="eastAsia"/>
                <w:bCs/>
                <w:color w:val="000000"/>
                <w:sz w:val="18"/>
                <w:szCs w:val="18"/>
              </w:rPr>
              <w:t>个工作日内</w:t>
            </w:r>
          </w:p>
        </w:tc>
        <w:tc>
          <w:tcPr>
            <w:tcW w:w="9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tc>
        <w:tc>
          <w:tcPr>
            <w:tcW w:w="664"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sz w:val="18"/>
                <w:szCs w:val="18"/>
              </w:rPr>
              <w:t>　</w:t>
            </w:r>
          </w:p>
        </w:tc>
      </w:tr>
      <w:tr>
        <w:tblPrEx/>
        <w:trPr>
          <w:trHeight w:val="1687" w:hRule="atLeast"/>
        </w:trPr>
        <w:tc>
          <w:tcPr>
            <w:tcW w:w="540" w:type="dxa"/>
            <w:tcBorders/>
            <w:vAlign w:val="center"/>
          </w:tcPr>
          <w:p>
            <w:pPr>
              <w:pStyle w:val="style0"/>
              <w:jc w:val="center"/>
              <w:rPr>
                <w:rFonts w:ascii="仿宋_GB2312" w:cs="宋体" w:eastAsia="仿宋_GB2312" w:hAnsi="宋体" w:hint="eastAsia"/>
                <w:color w:val="000000"/>
                <w:sz w:val="18"/>
                <w:szCs w:val="18"/>
                <w:lang w:val="en-US" w:eastAsia="zh-CN"/>
              </w:rPr>
            </w:pPr>
            <w:r>
              <w:rPr>
                <w:rFonts w:ascii="仿宋_GB2312" w:cs="宋体" w:eastAsia="仿宋_GB2312" w:hAnsi="宋体" w:hint="eastAsia"/>
                <w:color w:val="000000"/>
                <w:sz w:val="18"/>
                <w:szCs w:val="18"/>
                <w:lang w:val="en-US" w:eastAsia="zh-CN"/>
              </w:rPr>
              <w:t>33</w:t>
            </w:r>
          </w:p>
        </w:tc>
        <w:tc>
          <w:tcPr>
            <w:tcW w:w="900" w:type="dxa"/>
            <w:vMerge w:val="restart"/>
            <w:tcBorders/>
            <w:vAlign w:val="center"/>
          </w:tcPr>
          <w:p>
            <w:pPr>
              <w:pStyle w:val="style0"/>
              <w:rPr>
                <w:rFonts w:ascii="仿宋_GB2312" w:cs="宋体" w:eastAsia="仿宋_GB2312" w:hAnsi="宋体" w:hint="eastAsia"/>
                <w:color w:val="000000"/>
                <w:sz w:val="18"/>
                <w:szCs w:val="18"/>
              </w:rPr>
            </w:pPr>
            <w:r>
              <w:rPr>
                <w:rFonts w:ascii="仿宋_GB2312" w:eastAsia="仿宋_GB2312" w:hint="eastAsia"/>
                <w:bCs/>
                <w:color w:val="000000"/>
                <w:sz w:val="18"/>
                <w:szCs w:val="18"/>
                <w:lang w:eastAsia="zh-CN"/>
              </w:rPr>
              <w:t>公共服务事</w:t>
            </w:r>
            <w:bookmarkStart w:id="1" w:name="_GoBack"/>
            <w:bookmarkEnd w:id="1"/>
            <w:r>
              <w:rPr>
                <w:rFonts w:ascii="仿宋_GB2312" w:eastAsia="仿宋_GB2312" w:hint="eastAsia"/>
                <w:bCs/>
                <w:color w:val="000000"/>
                <w:sz w:val="18"/>
                <w:szCs w:val="18"/>
                <w:lang w:eastAsia="zh-CN"/>
              </w:rPr>
              <w:t>项</w:t>
            </w:r>
          </w:p>
        </w:tc>
        <w:tc>
          <w:tcPr>
            <w:tcW w:w="108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第三类非药品类易制毒化学品经营备案（新申请）</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Ansi="宋体" w:hint="eastAsia"/>
                <w:color w:val="000000"/>
                <w:sz w:val="18"/>
                <w:szCs w:val="18"/>
                <w:lang w:eastAsia="zh-CN"/>
              </w:rPr>
              <w:t>申请申请</w:t>
            </w:r>
            <w:r>
              <w:rPr>
                <w:rFonts w:ascii="仿宋_GB2312" w:eastAsia="仿宋_GB2312" w:hint="eastAsia"/>
                <w:bCs/>
                <w:color w:val="000000"/>
                <w:sz w:val="18"/>
                <w:szCs w:val="18"/>
              </w:rPr>
              <w:t>第三类非药品类易制毒化学品经营备案（新申请）</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"http://www.gd.gov.cn/zwgk/wjk/zcfgk/content/post_2524592.html"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易制毒化学品管理条例</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》第十三条</w:t>
            </w:r>
          </w:p>
        </w:tc>
        <w:tc>
          <w:tcPr>
            <w:tcW w:w="18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1</w:t>
            </w:r>
            <w:r>
              <w:rPr>
                <w:rFonts w:ascii="仿宋_GB2312" w:eastAsia="仿宋_GB2312" w:hint="eastAsia"/>
                <w:bCs/>
                <w:color w:val="000000"/>
                <w:sz w:val="18"/>
                <w:szCs w:val="18"/>
              </w:rPr>
              <w:t>个工作日内</w:t>
            </w:r>
          </w:p>
        </w:tc>
        <w:tc>
          <w:tcPr>
            <w:tcW w:w="9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tc>
        <w:tc>
          <w:tcPr>
            <w:tcW w:w="664"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sz w:val="18"/>
                <w:szCs w:val="18"/>
              </w:rPr>
              <w:t>　</w:t>
            </w:r>
          </w:p>
        </w:tc>
      </w:tr>
      <w:tr>
        <w:tblPrEx/>
        <w:trPr>
          <w:trHeight w:val="1687" w:hRule="atLeast"/>
        </w:trPr>
        <w:tc>
          <w:tcPr>
            <w:tcW w:w="540" w:type="dxa"/>
            <w:tcBorders/>
            <w:vAlign w:val="center"/>
          </w:tcPr>
          <w:p>
            <w:pPr>
              <w:pStyle w:val="style0"/>
              <w:jc w:val="center"/>
              <w:rPr>
                <w:rFonts w:ascii="仿宋_GB2312" w:cs="宋体" w:eastAsia="仿宋_GB2312" w:hAnsi="宋体" w:hint="eastAsia"/>
                <w:color w:val="000000"/>
                <w:sz w:val="18"/>
                <w:szCs w:val="18"/>
                <w:lang w:val="en-US" w:eastAsia="zh-CN"/>
              </w:rPr>
            </w:pPr>
            <w:r>
              <w:rPr>
                <w:rFonts w:ascii="仿宋_GB2312" w:cs="宋体" w:eastAsia="仿宋_GB2312" w:hAnsi="宋体" w:hint="eastAsia"/>
                <w:color w:val="000000"/>
                <w:sz w:val="18"/>
                <w:szCs w:val="18"/>
                <w:lang w:val="en-US" w:eastAsia="zh-CN"/>
              </w:rPr>
              <w:t>34</w:t>
            </w:r>
          </w:p>
        </w:tc>
        <w:tc>
          <w:tcPr>
            <w:tcW w:w="900" w:type="dxa"/>
            <w:vMerge w:val="continue"/>
            <w:tcBorders/>
            <w:vAlign w:val="center"/>
          </w:tcPr>
          <w:p>
            <w:pPr>
              <w:pStyle w:val="style0"/>
              <w:rPr>
                <w:rFonts w:ascii="仿宋_GB2312" w:cs="宋体" w:eastAsia="仿宋_GB2312" w:hAnsi="宋体" w:hint="eastAsia"/>
                <w:color w:val="000000"/>
                <w:sz w:val="18"/>
                <w:szCs w:val="18"/>
              </w:rPr>
            </w:pPr>
          </w:p>
        </w:tc>
        <w:tc>
          <w:tcPr>
            <w:tcW w:w="108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注销第三类非药品类易制毒化学品经营备案</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lang w:eastAsia="zh-CN"/>
              </w:rPr>
              <w:t>申请</w:t>
            </w:r>
            <w:r>
              <w:rPr>
                <w:rFonts w:ascii="仿宋_GB2312" w:eastAsia="仿宋_GB2312" w:hint="eastAsia"/>
                <w:bCs/>
                <w:color w:val="000000"/>
                <w:sz w:val="18"/>
                <w:szCs w:val="18"/>
              </w:rPr>
              <w:t>注销第三类非药品类易制毒化学品经营备案</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"http://www.gd.gov.cn/zwgk/wjk/zcfgk/content/post_2524592.html"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易制毒化学品管理条例</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》第十三条</w:t>
            </w:r>
          </w:p>
        </w:tc>
        <w:tc>
          <w:tcPr>
            <w:tcW w:w="18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1</w:t>
            </w:r>
            <w:r>
              <w:rPr>
                <w:rFonts w:ascii="仿宋_GB2312" w:eastAsia="仿宋_GB2312" w:hint="eastAsia"/>
                <w:bCs/>
                <w:color w:val="000000"/>
                <w:sz w:val="18"/>
                <w:szCs w:val="18"/>
              </w:rPr>
              <w:t>个工作日内</w:t>
            </w:r>
          </w:p>
        </w:tc>
        <w:tc>
          <w:tcPr>
            <w:tcW w:w="9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tc>
        <w:tc>
          <w:tcPr>
            <w:tcW w:w="664"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sz w:val="18"/>
                <w:szCs w:val="18"/>
              </w:rPr>
              <w:t>　</w:t>
            </w:r>
          </w:p>
        </w:tc>
      </w:tr>
      <w:tr>
        <w:tblPrEx/>
        <w:trPr>
          <w:trHeight w:val="1687" w:hRule="atLeast"/>
        </w:trPr>
        <w:tc>
          <w:tcPr>
            <w:tcW w:w="540" w:type="dxa"/>
            <w:tcBorders/>
            <w:vAlign w:val="center"/>
          </w:tcPr>
          <w:p>
            <w:pPr>
              <w:pStyle w:val="style0"/>
              <w:jc w:val="center"/>
              <w:rPr>
                <w:rFonts w:ascii="仿宋_GB2312" w:cs="宋体" w:eastAsia="仿宋_GB2312" w:hAnsi="宋体" w:hint="eastAsia"/>
                <w:color w:val="000000"/>
                <w:sz w:val="18"/>
                <w:szCs w:val="18"/>
                <w:lang w:val="en-US" w:eastAsia="zh-CN"/>
              </w:rPr>
            </w:pPr>
            <w:r>
              <w:rPr>
                <w:rFonts w:ascii="仿宋_GB2312" w:cs="宋体" w:eastAsia="仿宋_GB2312" w:hAnsi="宋体" w:hint="eastAsia"/>
                <w:color w:val="000000"/>
                <w:sz w:val="18"/>
                <w:szCs w:val="18"/>
                <w:lang w:val="en-US" w:eastAsia="zh-CN"/>
              </w:rPr>
              <w:t>35</w:t>
            </w:r>
          </w:p>
        </w:tc>
        <w:tc>
          <w:tcPr>
            <w:tcW w:w="900" w:type="dxa"/>
            <w:vMerge w:val="continue"/>
            <w:tcBorders/>
            <w:vAlign w:val="center"/>
          </w:tcPr>
          <w:p>
            <w:pPr>
              <w:pStyle w:val="style0"/>
              <w:rPr>
                <w:rFonts w:ascii="仿宋_GB2312" w:cs="宋体" w:eastAsia="仿宋_GB2312" w:hAnsi="宋体" w:hint="eastAsia"/>
                <w:color w:val="000000"/>
                <w:sz w:val="18"/>
                <w:szCs w:val="18"/>
              </w:rPr>
            </w:pPr>
          </w:p>
        </w:tc>
        <w:tc>
          <w:tcPr>
            <w:tcW w:w="108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重大危险源核销</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lang w:eastAsia="zh-CN"/>
              </w:rPr>
              <w:t>申请</w:t>
            </w:r>
            <w:r>
              <w:rPr>
                <w:rFonts w:ascii="仿宋_GB2312" w:eastAsia="仿宋_GB2312" w:hint="eastAsia"/>
                <w:bCs/>
                <w:color w:val="000000"/>
                <w:sz w:val="18"/>
                <w:szCs w:val="18"/>
              </w:rPr>
              <w:t>重大危险源核销</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"http://www.gd.gov.cn/zwgk/wjk/zcfgk/content/post_2532450.html"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危险化学品重大危险源监督管理暂行规定</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t>第二十三条、第二十四条、第二十七条</w:t>
            </w:r>
          </w:p>
        </w:tc>
        <w:tc>
          <w:tcPr>
            <w:tcW w:w="18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30</w:t>
            </w:r>
            <w:r>
              <w:rPr>
                <w:rFonts w:ascii="仿宋_GB2312" w:eastAsia="仿宋_GB2312" w:hint="eastAsia"/>
                <w:bCs/>
                <w:color w:val="000000"/>
                <w:sz w:val="18"/>
                <w:szCs w:val="18"/>
              </w:rPr>
              <w:t>个工作日内</w:t>
            </w:r>
          </w:p>
        </w:tc>
        <w:tc>
          <w:tcPr>
            <w:tcW w:w="9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tc>
        <w:tc>
          <w:tcPr>
            <w:tcW w:w="664"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sz w:val="18"/>
                <w:szCs w:val="18"/>
              </w:rPr>
              <w:t>　</w:t>
            </w:r>
          </w:p>
        </w:tc>
      </w:tr>
      <w:tr>
        <w:tblPrEx/>
        <w:trPr>
          <w:trHeight w:val="1687" w:hRule="atLeast"/>
        </w:trPr>
        <w:tc>
          <w:tcPr>
            <w:tcW w:w="540" w:type="dxa"/>
            <w:tcBorders/>
            <w:vAlign w:val="center"/>
          </w:tcPr>
          <w:p>
            <w:pPr>
              <w:pStyle w:val="style0"/>
              <w:jc w:val="center"/>
              <w:rPr>
                <w:rFonts w:ascii="仿宋_GB2312" w:cs="宋体" w:eastAsia="仿宋_GB2312" w:hAnsi="宋体" w:hint="eastAsia"/>
                <w:color w:val="000000"/>
                <w:sz w:val="18"/>
                <w:szCs w:val="18"/>
                <w:lang w:val="en-US" w:eastAsia="zh-CN"/>
              </w:rPr>
            </w:pPr>
            <w:r>
              <w:rPr>
                <w:rFonts w:ascii="仿宋_GB2312" w:cs="宋体" w:eastAsia="仿宋_GB2312" w:hAnsi="宋体" w:hint="eastAsia"/>
                <w:color w:val="000000"/>
                <w:sz w:val="18"/>
                <w:szCs w:val="18"/>
                <w:lang w:val="en-US" w:eastAsia="zh-CN"/>
              </w:rPr>
              <w:t>36</w:t>
            </w:r>
          </w:p>
        </w:tc>
        <w:tc>
          <w:tcPr>
            <w:tcW w:w="900" w:type="dxa"/>
            <w:vMerge w:val="continue"/>
            <w:tcBorders/>
            <w:vAlign w:val="center"/>
          </w:tcPr>
          <w:p>
            <w:pPr>
              <w:pStyle w:val="style0"/>
              <w:rPr>
                <w:rFonts w:ascii="仿宋_GB2312" w:cs="宋体" w:eastAsia="仿宋_GB2312" w:hAnsi="宋体" w:hint="eastAsia"/>
                <w:color w:val="000000"/>
                <w:sz w:val="18"/>
                <w:szCs w:val="18"/>
              </w:rPr>
            </w:pPr>
          </w:p>
        </w:tc>
        <w:tc>
          <w:tcPr>
            <w:tcW w:w="108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重大危险源备案</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lang w:eastAsia="zh-CN"/>
              </w:rPr>
              <w:t>申请</w:t>
            </w:r>
            <w:r>
              <w:rPr>
                <w:rFonts w:ascii="仿宋_GB2312" w:eastAsia="仿宋_GB2312" w:hint="eastAsia"/>
                <w:bCs/>
                <w:color w:val="000000"/>
                <w:sz w:val="18"/>
                <w:szCs w:val="18"/>
              </w:rPr>
              <w:t>重大危险源备案</w:t>
            </w:r>
            <w:r>
              <w:rPr>
                <w:rFonts w:ascii="仿宋_GB2312" w:eastAsia="仿宋_GB2312" w:hAnsi="宋体" w:hint="eastAsia"/>
                <w:color w:val="000000"/>
                <w:sz w:val="18"/>
                <w:szCs w:val="18"/>
              </w:rPr>
              <w:t>受理</w:t>
            </w:r>
            <w:r>
              <w:rPr>
                <w:rFonts w:ascii="仿宋_GB2312" w:eastAsia="仿宋_GB2312" w:hAnsi="宋体" w:hint="eastAsia"/>
                <w:color w:val="000000"/>
                <w:sz w:val="18"/>
                <w:szCs w:val="18"/>
                <w:lang w:eastAsia="zh-CN"/>
              </w:rPr>
              <w:t>标准</w:t>
            </w:r>
            <w:r>
              <w:rPr>
                <w:rFonts w:ascii="仿宋_GB2312" w:eastAsia="仿宋_GB2312" w:hAnsi="宋体" w:hint="eastAsia"/>
                <w:color w:val="000000"/>
                <w:sz w:val="18"/>
                <w:szCs w:val="18"/>
              </w:rPr>
              <w:t>；</w:t>
            </w:r>
            <w:r>
              <w:rPr>
                <w:rFonts w:ascii="仿宋_GB2312" w:eastAsia="仿宋_GB2312" w:hAnsi="宋体" w:hint="eastAsia"/>
                <w:color w:val="000000"/>
                <w:sz w:val="18"/>
                <w:szCs w:val="18"/>
                <w:lang w:eastAsia="zh-CN"/>
              </w:rPr>
              <w:t>办理流程、时限、依据、地点、联系方式及办理结果；</w:t>
            </w:r>
          </w:p>
        </w:tc>
        <w:tc>
          <w:tcPr>
            <w:tcW w:w="25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"http://www.gd.gov.cn/zwgk/wjk/zcfgk/content/post_2532450.html"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危险化学品重大危险源监督管理暂行规定</w:t>
            </w:r>
            <w:r>
              <w:rPr>
                <w:rFonts w:ascii="仿宋_GB2312" w:eastAsia="仿宋_GB2312" w:hint="default"/>
                <w:bCs/>
                <w:color w:val="000000"/>
                <w:sz w:val="18"/>
                <w:szCs w:val="18"/>
              </w:rPr>
              <w:fldChar w:fldCharType="end"/>
            </w:r>
            <w:r>
              <w:rPr>
                <w:rFonts w:ascii="仿宋_GB2312" w:eastAsia="仿宋_GB2312" w:hint="eastAsia"/>
                <w:bCs/>
                <w:color w:val="000000"/>
                <w:sz w:val="18"/>
                <w:szCs w:val="18"/>
                <w:lang w:eastAsia="zh-CN"/>
              </w:rPr>
              <w:t>》</w:t>
            </w:r>
            <w:r>
              <w:rPr>
                <w:rFonts w:ascii="仿宋_GB2312" w:eastAsia="仿宋_GB2312" w:hint="eastAsia"/>
                <w:bCs/>
                <w:color w:val="000000"/>
                <w:sz w:val="18"/>
                <w:szCs w:val="18"/>
              </w:rPr>
              <w:t>第二十三条、第二十四条、第二十七条</w:t>
            </w:r>
          </w:p>
        </w:tc>
        <w:tc>
          <w:tcPr>
            <w:tcW w:w="18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15</w:t>
            </w:r>
            <w:r>
              <w:rPr>
                <w:rFonts w:ascii="仿宋_GB2312" w:eastAsia="仿宋_GB2312" w:hint="eastAsia"/>
                <w:bCs/>
                <w:color w:val="000000"/>
                <w:sz w:val="18"/>
                <w:szCs w:val="18"/>
              </w:rPr>
              <w:t>个工作日内</w:t>
            </w:r>
          </w:p>
        </w:tc>
        <w:tc>
          <w:tcPr>
            <w:tcW w:w="900" w:type="dxa"/>
            <w:tcBorders/>
            <w:vAlign w:val="center"/>
          </w:tcPr>
          <w:p>
            <w:pPr>
              <w:pStyle w:val="style0"/>
              <w:rPr>
                <w:rFonts w:ascii="仿宋_GB2312" w:eastAsia="仿宋_GB2312" w:hint="eastAsia"/>
                <w:bCs/>
                <w:sz w:val="18"/>
                <w:szCs w:val="18"/>
              </w:rPr>
            </w:pPr>
            <w:r>
              <w:rPr>
                <w:rFonts w:ascii="仿宋_GB2312" w:eastAsia="仿宋_GB2312" w:hint="eastAsia"/>
                <w:bCs/>
                <w:color w:val="000000"/>
                <w:sz w:val="18"/>
                <w:szCs w:val="18"/>
              </w:rPr>
              <w:t>应急管理部门</w:t>
            </w:r>
          </w:p>
        </w:tc>
        <w:tc>
          <w:tcPr>
            <w:tcW w:w="1496" w:type="dxa"/>
            <w:tcBorders/>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tc>
        <w:tc>
          <w:tcPr>
            <w:tcW w:w="664"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72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72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color w:val="000000"/>
                <w:sz w:val="18"/>
                <w:szCs w:val="18"/>
              </w:rPr>
              <w:t>　</w:t>
            </w:r>
          </w:p>
        </w:tc>
        <w:tc>
          <w:tcPr>
            <w:tcW w:w="540" w:type="dxa"/>
            <w:tcBorders/>
            <w:vAlign w:val="center"/>
          </w:tcPr>
          <w:p>
            <w:pPr>
              <w:pStyle w:val="style0"/>
              <w:rPr>
                <w:rFonts w:ascii="仿宋_GB2312" w:eastAsia="仿宋_GB2312" w:hint="eastAsia"/>
                <w:bCs/>
                <w:sz w:val="18"/>
                <w:szCs w:val="18"/>
              </w:rPr>
            </w:pPr>
            <w:r>
              <w:rPr>
                <w:rFonts w:ascii="仿宋_GB2312" w:eastAsia="仿宋_GB2312" w:hint="eastAsia"/>
                <w:bCs/>
                <w:sz w:val="18"/>
                <w:szCs w:val="18"/>
              </w:rPr>
              <w:t>√</w:t>
            </w:r>
          </w:p>
        </w:tc>
        <w:tc>
          <w:tcPr>
            <w:tcW w:w="540" w:type="dxa"/>
            <w:tcBorders/>
            <w:vAlign w:val="center"/>
          </w:tcPr>
          <w:p>
            <w:pPr>
              <w:pStyle w:val="style0"/>
              <w:rPr>
                <w:rFonts w:ascii="仿宋_GB2312" w:eastAsia="仿宋_GB2312" w:hint="eastAsia"/>
                <w:bCs/>
                <w:color w:val="000000"/>
                <w:sz w:val="18"/>
                <w:szCs w:val="18"/>
              </w:rPr>
            </w:pPr>
            <w:r>
              <w:rPr>
                <w:rFonts w:ascii="仿宋_GB2312" w:eastAsia="仿宋_GB2312" w:hint="eastAsia"/>
                <w:bCs/>
                <w:sz w:val="18"/>
                <w:szCs w:val="18"/>
              </w:rPr>
              <w:t>　</w:t>
            </w:r>
          </w:p>
        </w:tc>
      </w:tr>
    </w:tbl>
    <w:p>
      <w:pPr>
        <w:pStyle w:val="style1"/>
        <w:jc w:val="center"/>
        <w:rPr>
          <w:rFonts w:ascii="方正小标宋_GBK" w:eastAsia="方正小标宋_GBK" w:hAnsi="方正小标宋_GBK" w:hint="eastAsia"/>
          <w:b w:val="false"/>
          <w:bCs w:val="false"/>
          <w:sz w:val="30"/>
        </w:rPr>
      </w:pPr>
      <w:r>
        <w:br w:type="page"/>
      </w:r>
      <w:bookmarkStart w:id="2" w:name="_Toc24724726"/>
      <w:r>
        <w:rPr>
          <w:rFonts w:ascii="方正小标宋_GBK" w:eastAsia="方正小标宋_GBK" w:hAnsi="方正小标宋_GBK" w:hint="eastAsia"/>
          <w:b w:val="false"/>
          <w:bCs w:val="false"/>
          <w:sz w:val="30"/>
        </w:rPr>
        <w:t>（二十三）救灾生产领域基层政务公开标准目录</w:t>
      </w:r>
      <w:bookmarkEnd w:id="2"/>
    </w:p>
    <w:tbl>
      <w:tblPr>
        <w:tblStyle w:val="style105"/>
        <w:tblW w:w="15660" w:type="dxa"/>
        <w:tblInd w:w="-844" w:type="dxa"/>
        <w:tblLayout w:type="fixed"/>
        <w:tblCellMar>
          <w:top w:w="0" w:type="dxa"/>
          <w:left w:w="108" w:type="dxa"/>
          <w:bottom w:w="0" w:type="dxa"/>
          <w:right w:w="108" w:type="dxa"/>
        </w:tblCellMar>
      </w:tblPr>
      <w:tblGrid>
        <w:gridCol w:w="540"/>
        <w:gridCol w:w="900"/>
        <w:gridCol w:w="1080"/>
        <w:gridCol w:w="2700"/>
        <w:gridCol w:w="1968"/>
        <w:gridCol w:w="2160"/>
        <w:gridCol w:w="1092"/>
        <w:gridCol w:w="1496"/>
        <w:gridCol w:w="540"/>
        <w:gridCol w:w="720"/>
        <w:gridCol w:w="540"/>
        <w:gridCol w:w="720"/>
        <w:gridCol w:w="540"/>
        <w:gridCol w:w="664"/>
      </w:tblGrid>
      <w:tr>
        <w:trPr>
          <w:trHeight w:val="420" w:hRule="atLeast"/>
        </w:trPr>
        <w:tc>
          <w:tcPr>
            <w:tcW w:w="5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仿宋_GB2312" w:eastAsia="仿宋_GB2312" w:hAnsi="Times New Roman" w:hint="eastAsia"/>
                <w:color w:val="000000"/>
                <w:kern w:val="0"/>
                <w:sz w:val="18"/>
                <w:szCs w:val="18"/>
              </w:rPr>
            </w:pPr>
            <w:r>
              <w:rPr>
                <w:rFonts w:ascii="黑体" w:cs="宋体" w:eastAsia="黑体" w:hAnsi="宋体" w:hint="eastAsia"/>
                <w:color w:val="000000"/>
                <w:kern w:val="0"/>
                <w:sz w:val="22"/>
              </w:rPr>
              <w:t>序号</w:t>
            </w:r>
          </w:p>
        </w:tc>
        <w:tc>
          <w:tcPr>
            <w:tcW w:w="1980" w:type="dxa"/>
            <w:gridSpan w:val="2"/>
            <w:tcBorders>
              <w:top w:val="single" w:sz="4" w:space="0" w:color="auto"/>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公开事项</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公开内容（要素）</w:t>
            </w:r>
          </w:p>
        </w:tc>
        <w:tc>
          <w:tcPr>
            <w:tcW w:w="19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公开依据</w:t>
            </w:r>
          </w:p>
        </w:tc>
        <w:tc>
          <w:tcPr>
            <w:tcW w:w="21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公开时限</w:t>
            </w:r>
          </w:p>
        </w:tc>
        <w:tc>
          <w:tcPr>
            <w:tcW w:w="10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公开主体</w:t>
            </w:r>
          </w:p>
        </w:tc>
        <w:tc>
          <w:tcPr>
            <w:tcW w:w="14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kern w:val="0"/>
                <w:sz w:val="22"/>
              </w:rPr>
            </w:pPr>
            <w:r>
              <w:rPr>
                <w:rFonts w:ascii="黑体" w:cs="宋体" w:eastAsia="黑体" w:hAnsi="宋体" w:hint="eastAsia"/>
                <w:kern w:val="0"/>
                <w:sz w:val="22"/>
              </w:rPr>
              <w:t>公开渠道和载体</w:t>
            </w:r>
          </w:p>
        </w:tc>
        <w:tc>
          <w:tcPr>
            <w:tcW w:w="1260" w:type="dxa"/>
            <w:gridSpan w:val="2"/>
            <w:tcBorders>
              <w:top w:val="single" w:sz="4" w:space="0" w:color="auto"/>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公开对象</w:t>
            </w:r>
          </w:p>
        </w:tc>
        <w:tc>
          <w:tcPr>
            <w:tcW w:w="1260" w:type="dxa"/>
            <w:gridSpan w:val="2"/>
            <w:tcBorders>
              <w:top w:val="single" w:sz="4" w:space="0" w:color="auto"/>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公开方式</w:t>
            </w:r>
          </w:p>
        </w:tc>
        <w:tc>
          <w:tcPr>
            <w:tcW w:w="1204" w:type="dxa"/>
            <w:gridSpan w:val="2"/>
            <w:tcBorders>
              <w:top w:val="single" w:sz="4" w:space="0" w:color="auto"/>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公开层级</w:t>
            </w:r>
          </w:p>
        </w:tc>
      </w:tr>
      <w:tr>
        <w:tblPrEx/>
        <w:trPr>
          <w:trHeight w:val="1123" w:hRule="atLeast"/>
        </w:trPr>
        <w:tc>
          <w:tcPr>
            <w:tcW w:w="540" w:type="dxa"/>
            <w:vMerge w:val="continue"/>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仿宋_GB2312" w:eastAsia="仿宋_GB2312" w:hAnsi="Times New Roman" w:hint="eastAsia"/>
                <w:color w:val="000000"/>
                <w:kern w:val="0"/>
                <w:sz w:val="18"/>
                <w:szCs w:val="18"/>
              </w:rPr>
            </w:pPr>
          </w:p>
        </w:tc>
        <w:tc>
          <w:tcPr>
            <w:tcW w:w="900"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一级事项</w:t>
            </w:r>
          </w:p>
        </w:tc>
        <w:tc>
          <w:tcPr>
            <w:tcW w:w="1080"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二级事项</w:t>
            </w:r>
          </w:p>
        </w:tc>
        <w:tc>
          <w:tcPr>
            <w:tcW w:w="2700" w:type="dxa"/>
            <w:vMerge w:val="continue"/>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left"/>
              <w:rPr>
                <w:rFonts w:ascii="黑体" w:cs="宋体" w:eastAsia="黑体" w:hAnsi="宋体" w:hint="eastAsia"/>
                <w:color w:val="000000"/>
                <w:kern w:val="0"/>
                <w:sz w:val="22"/>
              </w:rPr>
            </w:pPr>
          </w:p>
        </w:tc>
        <w:tc>
          <w:tcPr>
            <w:tcW w:w="1968" w:type="dxa"/>
            <w:vMerge w:val="continue"/>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left"/>
              <w:rPr>
                <w:rFonts w:ascii="黑体" w:cs="宋体" w:eastAsia="黑体" w:hAnsi="宋体" w:hint="eastAsia"/>
                <w:color w:val="000000"/>
                <w:kern w:val="0"/>
                <w:sz w:val="22"/>
              </w:rPr>
            </w:pPr>
          </w:p>
        </w:tc>
        <w:tc>
          <w:tcPr>
            <w:tcW w:w="2160" w:type="dxa"/>
            <w:vMerge w:val="continue"/>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left"/>
              <w:rPr>
                <w:rFonts w:ascii="黑体" w:cs="宋体" w:eastAsia="黑体" w:hAnsi="宋体" w:hint="eastAsia"/>
                <w:color w:val="000000"/>
                <w:kern w:val="0"/>
                <w:sz w:val="22"/>
              </w:rPr>
            </w:pPr>
          </w:p>
        </w:tc>
        <w:tc>
          <w:tcPr>
            <w:tcW w:w="1092" w:type="dxa"/>
            <w:vMerge w:val="continue"/>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p>
        </w:tc>
        <w:tc>
          <w:tcPr>
            <w:tcW w:w="1496" w:type="dxa"/>
            <w:vMerge w:val="continue"/>
            <w:tcBorders>
              <w:top w:val="single" w:sz="4" w:space="0" w:color="auto"/>
              <w:left w:val="single" w:sz="4" w:space="0" w:color="auto"/>
              <w:bottom w:val="single" w:sz="4" w:space="0" w:color="auto"/>
              <w:right w:val="single" w:sz="4" w:space="0" w:color="auto"/>
            </w:tcBorders>
            <w:shd w:val="clear" w:color="auto" w:fill="auto"/>
            <w:vAlign w:val="center"/>
          </w:tcPr>
          <w:p>
            <w:pPr>
              <w:pStyle w:val="style0"/>
              <w:widowControl/>
              <w:jc w:val="left"/>
              <w:rPr>
                <w:rFonts w:ascii="黑体" w:cs="宋体" w:eastAsia="黑体" w:hAnsi="宋体" w:hint="eastAsia"/>
                <w:kern w:val="0"/>
                <w:sz w:val="22"/>
              </w:rPr>
            </w:pPr>
          </w:p>
        </w:tc>
        <w:tc>
          <w:tcPr>
            <w:tcW w:w="540"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全社会</w:t>
            </w:r>
          </w:p>
        </w:tc>
        <w:tc>
          <w:tcPr>
            <w:tcW w:w="720"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特定群众</w:t>
            </w:r>
          </w:p>
        </w:tc>
        <w:tc>
          <w:tcPr>
            <w:tcW w:w="540"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主动</w:t>
            </w:r>
          </w:p>
        </w:tc>
        <w:tc>
          <w:tcPr>
            <w:tcW w:w="720"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依申请公开</w:t>
            </w:r>
          </w:p>
        </w:tc>
        <w:tc>
          <w:tcPr>
            <w:tcW w:w="540"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县级</w:t>
            </w:r>
          </w:p>
        </w:tc>
        <w:tc>
          <w:tcPr>
            <w:tcW w:w="664" w:type="dxa"/>
            <w:tcBorders>
              <w:top w:val="nil"/>
              <w:left w:val="nil"/>
              <w:bottom w:val="single" w:sz="4" w:space="0" w:color="auto"/>
              <w:right w:val="single" w:sz="4" w:space="0" w:color="auto"/>
            </w:tcBorders>
            <w:shd w:val="clear" w:color="auto" w:fill="auto"/>
            <w:vAlign w:val="center"/>
          </w:tcPr>
          <w:p>
            <w:pPr>
              <w:pStyle w:val="style0"/>
              <w:widowControl/>
              <w:jc w:val="center"/>
              <w:rPr>
                <w:rFonts w:ascii="黑体" w:cs="宋体" w:eastAsia="黑体" w:hAnsi="宋体" w:hint="eastAsia"/>
                <w:color w:val="000000"/>
                <w:kern w:val="0"/>
                <w:sz w:val="22"/>
              </w:rPr>
            </w:pPr>
            <w:r>
              <w:rPr>
                <w:rFonts w:ascii="黑体" w:cs="宋体" w:eastAsia="黑体" w:hAnsi="宋体" w:hint="eastAsia"/>
                <w:color w:val="000000"/>
                <w:kern w:val="0"/>
                <w:sz w:val="22"/>
              </w:rPr>
              <w:t>乡、村级</w:t>
            </w:r>
          </w:p>
        </w:tc>
      </w:tr>
      <w:tr>
        <w:tblPrEx/>
        <w:trPr>
          <w:trHeight w:val="908"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1</w:t>
            </w:r>
          </w:p>
        </w:tc>
        <w:tc>
          <w:tcPr>
            <w:tcW w:w="900" w:type="dxa"/>
            <w:vMerge w:val="restart"/>
            <w:tcBorders>
              <w:left w:val="nil"/>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政策</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法律法规</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与救灾有关的法律、法规</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sz w:val="18"/>
                <w:szCs w:val="18"/>
              </w:rPr>
            </w:pPr>
            <w:r>
              <w:rPr>
                <w:rFonts w:ascii="仿宋_GB2312" w:eastAsia="仿宋_GB2312" w:hint="eastAsia"/>
                <w:sz w:val="18"/>
                <w:szCs w:val="18"/>
              </w:rPr>
              <w:t>■政府网站   ■两微一端   ■公开查阅点 ■政务服务中心</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952"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2</w:t>
            </w:r>
          </w:p>
        </w:tc>
        <w:tc>
          <w:tcPr>
            <w:tcW w:w="900" w:type="dxa"/>
            <w:vMerge w:val="continue"/>
            <w:tcBorders>
              <w:left w:val="nil"/>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部门和地方规章</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与救灾有关的部门和地方规章、规范性文件</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sz w:val="18"/>
                <w:szCs w:val="18"/>
              </w:rPr>
            </w:pPr>
            <w:r>
              <w:rPr>
                <w:rFonts w:ascii="仿宋_GB2312" w:eastAsia="仿宋_GB2312" w:hint="eastAsia"/>
                <w:sz w:val="18"/>
                <w:szCs w:val="18"/>
              </w:rPr>
              <w:t>■政府网站   ■两微一端   ■公开查阅点 ■政务服务中心</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82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3</w:t>
            </w:r>
          </w:p>
        </w:tc>
        <w:tc>
          <w:tcPr>
            <w:tcW w:w="900" w:type="dxa"/>
            <w:vMerge w:val="continue"/>
            <w:tcBorders>
              <w:left w:val="nil"/>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其他政策文件</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其他可以公开的与救灾有关的政策文件，包括改革方案、发展规划、专项规划、工作计划等</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970"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4</w:t>
            </w:r>
          </w:p>
        </w:tc>
        <w:tc>
          <w:tcPr>
            <w:tcW w:w="900" w:type="dxa"/>
            <w:vMerge w:val="continue"/>
            <w:tcBorders>
              <w:left w:val="nil"/>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标准</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救灾领域有关的国家标准、行业标准、地方标准等</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r>
      <w:tr>
        <w:tblPrEx/>
        <w:trPr>
          <w:trHeight w:val="1237"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5</w:t>
            </w:r>
          </w:p>
        </w:tc>
        <w:tc>
          <w:tcPr>
            <w:tcW w:w="900" w:type="dxa"/>
            <w:vMerge w:val="restart"/>
            <w:tcBorders>
              <w:top w:val="single" w:sz="4" w:space="0" w:color="auto"/>
              <w:left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政策</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重大决策草案</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涉及管理相对人切身利益、需社会广泛知晓的重要改革方案等重大决策，决策前向社会公开决策草案、决策依据</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sz w:val="18"/>
                <w:szCs w:val="18"/>
              </w:rPr>
            </w:pPr>
            <w:r>
              <w:rPr>
                <w:rFonts w:ascii="仿宋_GB2312" w:eastAsia="仿宋_GB2312" w:hint="eastAsia"/>
                <w:sz w:val="18"/>
                <w:szCs w:val="18"/>
              </w:rPr>
              <w:t xml:space="preserve">■政府网站   ■两微一端   ■公开查阅点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6</w:t>
            </w:r>
          </w:p>
        </w:tc>
        <w:tc>
          <w:tcPr>
            <w:tcW w:w="900" w:type="dxa"/>
            <w:vMerge w:val="continue"/>
            <w:tcBorders>
              <w:left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重大政策解读及回应</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eastAsia="仿宋_GB2312" w:hint="eastAsia"/>
                <w:color w:val="000000"/>
                <w:sz w:val="18"/>
                <w:szCs w:val="18"/>
              </w:rPr>
            </w:pPr>
            <w:r>
              <w:rPr>
                <w:rFonts w:ascii="仿宋_GB2312" w:eastAsia="仿宋_GB2312" w:hint="eastAsia"/>
                <w:color w:val="000000"/>
                <w:sz w:val="18"/>
                <w:szCs w:val="18"/>
              </w:rPr>
              <w:t xml:space="preserve">有关重大政策的解读及回应                       </w:t>
            </w:r>
          </w:p>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相关热点问题的解读及回应</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《政府信息公开条例》、《国务院办公厅关于在政务公开工作中进一步做好政务舆情回应的通知》</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重大决策作出后及时公开</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■广播电视   ■纸质媒体</w:t>
            </w:r>
            <w:r>
              <w:rPr>
                <w:rFonts w:ascii="仿宋_GB2312" w:eastAsia="仿宋_GB2312" w:hint="eastAsia"/>
                <w:sz w:val="18"/>
                <w:szCs w:val="18"/>
              </w:rPr>
              <w:br/>
            </w:r>
            <w:r>
              <w:rPr>
                <w:rFonts w:ascii="仿宋_GB2312" w:eastAsia="仿宋_GB2312" w:hint="eastAsia"/>
                <w:sz w:val="18"/>
                <w:szCs w:val="18"/>
              </w:rPr>
              <w:t>■公开查阅点 ■政务服务中心</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7</w:t>
            </w:r>
          </w:p>
        </w:tc>
        <w:tc>
          <w:tcPr>
            <w:tcW w:w="900" w:type="dxa"/>
            <w:vMerge w:val="continue"/>
            <w:tcBorders>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重要会议</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以会议讨论作出重要改革方案等重大决策时，经党组研究认为有必要公开讨论决策过程的会议</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提前一周发通知邀请</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sz w:val="18"/>
                <w:szCs w:val="18"/>
              </w:rPr>
            </w:pPr>
            <w:r>
              <w:rPr>
                <w:rFonts w:ascii="仿宋_GB2312" w:eastAsia="仿宋_GB2312" w:hint="eastAsia"/>
                <w:sz w:val="18"/>
                <w:szCs w:val="18"/>
              </w:rPr>
              <w:t xml:space="preserve">■政府网站   ■便民服务站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color w:val="000000"/>
                <w:sz w:val="18"/>
                <w:szCs w:val="18"/>
              </w:rPr>
            </w:pPr>
            <w:r>
              <w:rPr>
                <w:rFonts w:ascii="仿宋_GB2312" w:eastAsia="仿宋_GB2312" w:hint="eastAsia"/>
                <w:color w:val="000000"/>
                <w:sz w:val="18"/>
                <w:szCs w:val="18"/>
              </w:rPr>
              <w:t>8</w:t>
            </w:r>
          </w:p>
        </w:tc>
        <w:tc>
          <w:tcPr>
            <w:tcW w:w="900" w:type="dxa"/>
            <w:tcBorders>
              <w:top w:val="single" w:sz="4" w:space="0" w:color="auto"/>
              <w:left w:val="nil"/>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政策</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文件</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征集采纳社会公众意见情况</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重大决策草案公布后征集到的社会公众意见情况、采纳与否情况及理由等</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《政府信息公开条例》、《关于全面推进政务公开工作的意见》</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征求意见时对外公布的时限内公开</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■政府网站   </w:t>
            </w:r>
          </w:p>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 xml:space="preserve">■两微一端   </w:t>
            </w:r>
          </w:p>
          <w:p>
            <w:pPr>
              <w:pStyle w:val="style0"/>
              <w:spacing w:lineRule="exact" w:line="240"/>
              <w:jc w:val="left"/>
              <w:rPr>
                <w:rFonts w:ascii="仿宋_GB2312" w:cs="宋体" w:eastAsia="仿宋_GB2312" w:hAnsi="宋体"/>
                <w:sz w:val="18"/>
                <w:szCs w:val="18"/>
              </w:rPr>
            </w:pPr>
            <w:r>
              <w:rPr>
                <w:rFonts w:ascii="仿宋_GB2312" w:eastAsia="仿宋_GB2312" w:hint="eastAsia"/>
                <w:sz w:val="18"/>
                <w:szCs w:val="18"/>
              </w:rPr>
              <w:t xml:space="preserve">■公开查阅点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9</w:t>
            </w:r>
          </w:p>
        </w:tc>
        <w:tc>
          <w:tcPr>
            <w:tcW w:w="900" w:type="dxa"/>
            <w:vMerge w:val="restart"/>
            <w:tcBorders>
              <w:left w:val="nil"/>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备灾</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管理</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综合减灾示范社区</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综合减灾示范社区分布情况（其具体位置、创建时间、创建级别等）</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《政府信息公开条例》、《社会救助暂行办法》、《国家综合防灾减灾规划（2016-2020年）》</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r>
              <w:rPr>
                <w:rFonts w:ascii="仿宋_GB2312" w:eastAsia="仿宋_GB2312" w:hint="eastAsia"/>
                <w:sz w:val="18"/>
                <w:szCs w:val="18"/>
              </w:rPr>
              <w:br/>
            </w:r>
            <w:r>
              <w:rPr>
                <w:rFonts w:ascii="仿宋_GB2312" w:eastAsia="仿宋_GB2312" w:hint="eastAsia"/>
                <w:sz w:val="18"/>
                <w:szCs w:val="18"/>
              </w:rPr>
              <w:t xml:space="preserve">■公开查阅点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10</w:t>
            </w:r>
          </w:p>
        </w:tc>
        <w:tc>
          <w:tcPr>
            <w:tcW w:w="900" w:type="dxa"/>
            <w:vMerge w:val="continue"/>
            <w:tcBorders>
              <w:left w:val="nil"/>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灾害信息员队伍</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县乡两级灾害信息员工作职责和办公电话</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同上</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r>
      <w:tr>
        <w:tblPrEx/>
        <w:trPr>
          <w:trHeight w:val="1030"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11</w:t>
            </w:r>
          </w:p>
        </w:tc>
        <w:tc>
          <w:tcPr>
            <w:tcW w:w="900" w:type="dxa"/>
            <w:vMerge w:val="continue"/>
            <w:tcBorders>
              <w:left w:val="nil"/>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预警信息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气象、地震等单位发布的预警信息</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■政府网站</w:t>
            </w:r>
          </w:p>
          <w:p>
            <w:pPr>
              <w:pStyle w:val="style0"/>
              <w:spacing w:lineRule="exact" w:line="240"/>
              <w:jc w:val="left"/>
              <w:rPr>
                <w:rFonts w:ascii="仿宋_GB2312" w:eastAsia="仿宋_GB2312"/>
                <w:sz w:val="18"/>
                <w:szCs w:val="18"/>
              </w:rPr>
            </w:pP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12</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灾后</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救助</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灾情核定信息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本行政区域内因自然灾害造成的损失情况（受灾时间、灾害种类、受灾范围、灾害造成的损失等）</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■广播电视</w:t>
            </w:r>
          </w:p>
          <w:p>
            <w:pPr>
              <w:pStyle w:val="style0"/>
              <w:spacing w:lineRule="exact" w:line="240"/>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 xml:space="preserve">■公开查阅点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13</w:t>
            </w:r>
          </w:p>
        </w:tc>
        <w:tc>
          <w:tcPr>
            <w:tcW w:w="900" w:type="dxa"/>
            <w:tcBorders>
              <w:top w:val="single" w:sz="4" w:space="0" w:color="auto"/>
              <w:left w:val="nil"/>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灾后</w:t>
            </w:r>
          </w:p>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救助</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救助审定信息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自然灾害救助（6类）的救助对象、申报材料、办理程序及时限等</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p>
          <w:p>
            <w:pPr>
              <w:pStyle w:val="style0"/>
              <w:spacing w:lineRule="exact" w:line="240"/>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 xml:space="preserve">■公开查阅点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113"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14</w:t>
            </w:r>
          </w:p>
        </w:tc>
        <w:tc>
          <w:tcPr>
            <w:tcW w:w="900" w:type="dxa"/>
            <w:vMerge w:val="restart"/>
            <w:tcBorders>
              <w:left w:val="nil"/>
              <w:right w:val="single" w:sz="4" w:space="0" w:color="auto"/>
            </w:tcBorders>
            <w:shd w:val="clear" w:color="auto" w:fill="auto"/>
            <w:vAlign w:val="center"/>
          </w:tcPr>
          <w:p>
            <w:pPr>
              <w:pStyle w:val="style0"/>
              <w:jc w:val="center"/>
              <w:rPr>
                <w:rFonts w:ascii="仿宋_GB2312" w:eastAsia="仿宋_GB2312" w:hint="eastAsia"/>
                <w:sz w:val="18"/>
                <w:szCs w:val="18"/>
              </w:rPr>
            </w:pPr>
            <w:r>
              <w:rPr>
                <w:rFonts w:ascii="仿宋_GB2312" w:eastAsia="仿宋_GB2312" w:hint="eastAsia"/>
                <w:sz w:val="18"/>
                <w:szCs w:val="18"/>
              </w:rPr>
              <w:t>灾害</w:t>
            </w:r>
          </w:p>
          <w:p>
            <w:pPr>
              <w:pStyle w:val="style0"/>
              <w:jc w:val="center"/>
              <w:rPr>
                <w:rFonts w:ascii="仿宋_GB2312" w:cs="宋体" w:eastAsia="仿宋_GB2312" w:hAnsi="宋体"/>
                <w:sz w:val="18"/>
                <w:szCs w:val="18"/>
              </w:rPr>
            </w:pPr>
            <w:r>
              <w:rPr>
                <w:rFonts w:ascii="仿宋_GB2312" w:eastAsia="仿宋_GB2312" w:hint="eastAsia"/>
                <w:sz w:val="18"/>
                <w:szCs w:val="18"/>
              </w:rPr>
              <w:t>救助</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应急管理部门审批</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救助款物通知及划拨情况</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p>
          <w:p>
            <w:pPr>
              <w:pStyle w:val="style0"/>
              <w:spacing w:lineRule="exact" w:line="240"/>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2403"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15</w:t>
            </w:r>
          </w:p>
        </w:tc>
        <w:tc>
          <w:tcPr>
            <w:tcW w:w="900" w:type="dxa"/>
            <w:vMerge w:val="continue"/>
            <w:tcBorders>
              <w:left w:val="nil"/>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sz w:val="18"/>
                <w:szCs w:val="18"/>
              </w:rPr>
            </w:pP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因灾过渡期生活救助</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《政府信息公开条例》、《自然灾害救助条例》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color w:val="000000"/>
                <w:sz w:val="18"/>
                <w:szCs w:val="18"/>
              </w:rPr>
            </w:pPr>
            <w:r>
              <w:rPr>
                <w:rFonts w:ascii="仿宋_GB2312" w:eastAsia="仿宋_GB2312" w:hint="eastAsia"/>
                <w:color w:val="000000"/>
                <w:sz w:val="18"/>
                <w:szCs w:val="18"/>
              </w:rPr>
              <w:t>信息形成或变更之日起20个工作日内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p>
          <w:p>
            <w:pPr>
              <w:pStyle w:val="style0"/>
              <w:spacing w:lineRule="exact" w:line="240"/>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rPr>
              <w:t>1</w:t>
            </w:r>
            <w:r>
              <w:rPr>
                <w:rFonts w:ascii="仿宋_GB2312" w:cs="宋体" w:eastAsia="仿宋_GB2312" w:hAnsi="宋体" w:hint="eastAsia"/>
                <w:color w:val="000000"/>
                <w:sz w:val="18"/>
                <w:szCs w:val="18"/>
                <w:lang w:val="en-US" w:eastAsia="zh-CN"/>
              </w:rPr>
              <w:t>6</w:t>
            </w:r>
          </w:p>
        </w:tc>
        <w:tc>
          <w:tcPr>
            <w:tcW w:w="900" w:type="dxa"/>
            <w:tcBorders>
              <w:left w:val="nil"/>
              <w:bottom w:val="single" w:sz="4" w:space="0" w:color="auto"/>
              <w:right w:val="single" w:sz="4" w:space="0" w:color="auto"/>
            </w:tcBorders>
            <w:shd w:val="clear" w:color="auto" w:fill="auto"/>
            <w:vAlign w:val="center"/>
          </w:tcPr>
          <w:p>
            <w:pPr>
              <w:pStyle w:val="style0"/>
              <w:jc w:val="center"/>
              <w:rPr>
                <w:rFonts w:ascii="仿宋_GB2312" w:eastAsia="仿宋_GB2312" w:hint="eastAsia"/>
                <w:sz w:val="18"/>
                <w:szCs w:val="18"/>
              </w:rPr>
            </w:pPr>
            <w:r>
              <w:rPr>
                <w:rFonts w:ascii="仿宋_GB2312" w:eastAsia="仿宋_GB2312" w:hint="eastAsia"/>
                <w:sz w:val="18"/>
                <w:szCs w:val="18"/>
              </w:rPr>
              <w:t>款物</w:t>
            </w:r>
          </w:p>
          <w:p>
            <w:pPr>
              <w:pStyle w:val="style0"/>
              <w:jc w:val="center"/>
              <w:rPr>
                <w:rFonts w:ascii="仿宋_GB2312" w:cs="宋体" w:eastAsia="仿宋_GB2312" w:hAnsi="宋体" w:hint="eastAsia"/>
                <w:color w:val="000000"/>
                <w:sz w:val="18"/>
                <w:szCs w:val="18"/>
              </w:rPr>
            </w:pPr>
            <w:r>
              <w:rPr>
                <w:rFonts w:ascii="仿宋_GB2312" w:eastAsia="仿宋_GB2312" w:hint="eastAsia"/>
                <w:sz w:val="18"/>
                <w:szCs w:val="18"/>
              </w:rPr>
              <w:t>管理</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年度款物使用情况</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年度救灾资金和救灾物资等使用情况</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p>
          <w:p>
            <w:pPr>
              <w:pStyle w:val="style0"/>
              <w:spacing w:lineRule="exact" w:line="240"/>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lang w:eastAsia="zh-CN"/>
              </w:rPr>
            </w:pPr>
            <w:r>
              <w:rPr>
                <w:rFonts w:ascii="仿宋_GB2312" w:cs="宋体" w:eastAsia="仿宋_GB2312" w:hAnsi="宋体" w:hint="eastAsia"/>
                <w:color w:val="000000"/>
                <w:sz w:val="18"/>
                <w:szCs w:val="18"/>
                <w:lang w:val="en-US" w:eastAsia="zh-CN"/>
              </w:rPr>
              <w:t>17</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eastAsia="仿宋_GB2312" w:hint="eastAsia"/>
                <w:color w:val="000000"/>
                <w:sz w:val="18"/>
                <w:szCs w:val="18"/>
              </w:rPr>
            </w:pPr>
            <w:r>
              <w:rPr>
                <w:rFonts w:ascii="仿宋_GB2312" w:eastAsia="仿宋_GB2312" w:hint="eastAsia"/>
                <w:color w:val="000000"/>
                <w:sz w:val="18"/>
                <w:szCs w:val="18"/>
              </w:rPr>
              <w:t>工作</w:t>
            </w:r>
          </w:p>
          <w:p>
            <w:pPr>
              <w:pStyle w:val="style0"/>
              <w:jc w:val="center"/>
              <w:rPr>
                <w:rFonts w:ascii="仿宋_GB2312" w:cs="宋体" w:eastAsia="仿宋_GB2312" w:hAnsi="宋体" w:hint="eastAsia"/>
                <w:color w:val="000000"/>
                <w:sz w:val="18"/>
                <w:szCs w:val="18"/>
              </w:rPr>
            </w:pPr>
            <w:r>
              <w:rPr>
                <w:rFonts w:ascii="仿宋_GB2312" w:eastAsia="仿宋_GB2312" w:hint="eastAsia"/>
                <w:color w:val="000000"/>
                <w:sz w:val="18"/>
                <w:szCs w:val="18"/>
              </w:rPr>
              <w:t>动态</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工作信息</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防灾减灾救灾其他相关动态信息</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《政府信息公开条例》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按进展情况及时公开</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p>
          <w:p>
            <w:pPr>
              <w:pStyle w:val="style0"/>
              <w:spacing w:lineRule="exact" w:line="240"/>
              <w:rPr>
                <w:rFonts w:ascii="仿宋_GB2312" w:eastAsia="仿宋_GB2312"/>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r>
              <w:rPr>
                <w:rFonts w:ascii="仿宋_GB2312" w:eastAsia="仿宋_GB2312" w:hint="eastAsia"/>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cs="宋体" w:eastAsia="仿宋_GB2312" w:hAnsi="宋体"/>
                <w:sz w:val="18"/>
                <w:szCs w:val="18"/>
              </w:rPr>
            </w:pPr>
          </w:p>
        </w:tc>
      </w:tr>
      <w:tr>
        <w:tblPrEx/>
        <w:trPr>
          <w:trHeight w:val="1086" w:hRule="atLeas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jc w:val="center"/>
              <w:rPr>
                <w:rFonts w:ascii="仿宋_GB2312" w:cs="宋体" w:eastAsia="仿宋_GB2312" w:hAnsi="宋体" w:hint="eastAsia"/>
                <w:color w:val="000000"/>
                <w:sz w:val="18"/>
                <w:szCs w:val="18"/>
              </w:rPr>
            </w:pPr>
            <w:r>
              <w:rPr>
                <w:rFonts w:ascii="仿宋_GB2312" w:cs="宋体" w:eastAsia="仿宋_GB2312" w:hAnsi="宋体" w:hint="eastAsia"/>
                <w:color w:val="000000"/>
                <w:sz w:val="18"/>
                <w:szCs w:val="18"/>
                <w:lang w:val="en-US" w:eastAsia="zh-CN"/>
              </w:rPr>
              <w:t>18</w:t>
            </w:r>
          </w:p>
        </w:tc>
        <w:tc>
          <w:tcPr>
            <w:tcW w:w="90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color w:val="000000"/>
                <w:sz w:val="18"/>
                <w:szCs w:val="18"/>
              </w:rPr>
            </w:pPr>
            <w:r>
              <w:rPr>
                <w:rFonts w:ascii="仿宋_GB2312" w:eastAsia="仿宋_GB2312" w:hint="eastAsia"/>
                <w:bCs/>
                <w:color w:val="000000"/>
                <w:sz w:val="18"/>
                <w:szCs w:val="18"/>
                <w:lang w:eastAsia="zh-CN"/>
              </w:rPr>
              <w:t>公共服务事项</w:t>
            </w:r>
          </w:p>
        </w:tc>
        <w:tc>
          <w:tcPr>
            <w:tcW w:w="108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color w:val="000000"/>
                <w:sz w:val="18"/>
                <w:szCs w:val="18"/>
              </w:rPr>
              <w:t>防汛防旱防风防冻应急响应发布</w:t>
            </w:r>
          </w:p>
        </w:tc>
        <w:tc>
          <w:tcPr>
            <w:tcW w:w="270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color w:val="000000"/>
                <w:sz w:val="18"/>
                <w:szCs w:val="18"/>
                <w:lang w:eastAsia="zh-CN"/>
              </w:rPr>
              <w:t>揭西县预警发布中心</w:t>
            </w:r>
            <w:r>
              <w:rPr>
                <w:rFonts w:ascii="仿宋_GB2312" w:eastAsia="仿宋_GB2312" w:hint="eastAsia"/>
                <w:color w:val="000000"/>
                <w:sz w:val="18"/>
                <w:szCs w:val="18"/>
              </w:rPr>
              <w:t>等单位发布的</w:t>
            </w:r>
            <w:r>
              <w:rPr>
                <w:rFonts w:ascii="仿宋_GB2312" w:eastAsia="仿宋_GB2312" w:hint="eastAsia"/>
                <w:color w:val="000000"/>
                <w:sz w:val="18"/>
                <w:szCs w:val="18"/>
                <w:lang w:eastAsia="zh-CN"/>
              </w:rPr>
              <w:t>相关</w:t>
            </w:r>
            <w:r>
              <w:rPr>
                <w:rFonts w:ascii="仿宋_GB2312" w:eastAsia="仿宋_GB2312" w:hint="eastAsia"/>
                <w:color w:val="000000"/>
                <w:sz w:val="18"/>
                <w:szCs w:val="18"/>
              </w:rPr>
              <w:t>信息</w:t>
            </w:r>
            <w:r>
              <w:rPr>
                <w:rFonts w:ascii="仿宋_GB2312" w:eastAsia="仿宋_GB2312" w:hint="eastAsia"/>
                <w:color w:val="000000"/>
                <w:sz w:val="18"/>
                <w:szCs w:val="18"/>
                <w:lang w:eastAsia="zh-CN"/>
              </w:rPr>
              <w:t>及</w:t>
            </w:r>
            <w:r>
              <w:rPr>
                <w:rFonts w:ascii="仿宋_GB2312" w:eastAsia="仿宋_GB2312" w:hint="eastAsia"/>
                <w:bCs/>
                <w:color w:val="000000"/>
                <w:sz w:val="18"/>
                <w:szCs w:val="18"/>
              </w:rPr>
              <w:t>防汛防旱防风防冻</w:t>
            </w:r>
            <w:r>
              <w:rPr>
                <w:rFonts w:ascii="仿宋_GB2312" w:eastAsia="仿宋_GB2312" w:hint="eastAsia"/>
                <w:sz w:val="18"/>
                <w:szCs w:val="18"/>
              </w:rPr>
              <w:t>其他相关动态信息</w:t>
            </w:r>
          </w:p>
        </w:tc>
        <w:tc>
          <w:tcPr>
            <w:tcW w:w="196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color w:val="000000"/>
                <w:sz w:val="18"/>
                <w:szCs w:val="18"/>
              </w:rPr>
              <w:fldChar w:fldCharType="begin"/>
            </w:r>
            <w:r>
              <w:rPr>
                <w:rFonts w:ascii="仿宋_GB2312" w:eastAsia="仿宋_GB2312" w:hint="eastAsia"/>
                <w:bCs/>
                <w:color w:val="000000"/>
                <w:sz w:val="18"/>
                <w:szCs w:val="18"/>
              </w:rPr>
              <w:instrText xml:space="preserve"> HYPERLINK "http://www.gd.gov.cn/zwgk/wjk/zcfgk/content/post_2712286.html" \t "https://www.gdzwfw.gov.cn/portal/guide/_blank" </w:instrText>
            </w:r>
            <w:r>
              <w:rPr>
                <w:rFonts w:ascii="仿宋_GB2312" w:eastAsia="仿宋_GB2312" w:hint="eastAsia"/>
                <w:bCs/>
                <w:color w:val="000000"/>
                <w:sz w:val="18"/>
                <w:szCs w:val="18"/>
              </w:rPr>
              <w:fldChar w:fldCharType="separate"/>
            </w:r>
            <w:r>
              <w:rPr>
                <w:rFonts w:ascii="仿宋_GB2312" w:eastAsia="仿宋_GB2312" w:hint="default"/>
                <w:bCs/>
                <w:color w:val="000000"/>
                <w:sz w:val="18"/>
                <w:szCs w:val="18"/>
              </w:rPr>
              <w:t>《印发广东省防汛防旱防风防冻应急预案的通知》</w:t>
            </w:r>
            <w:r>
              <w:rPr>
                <w:rFonts w:ascii="仿宋_GB2312" w:eastAsia="仿宋_GB2312" w:hint="default"/>
                <w:bCs/>
                <w:color w:val="000000"/>
                <w:sz w:val="18"/>
                <w:szCs w:val="18"/>
              </w:rPr>
              <w:fldChar w:fldCharType="end"/>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color w:val="000000"/>
                <w:sz w:val="18"/>
                <w:szCs w:val="18"/>
              </w:rPr>
              <w:t>信息形成或变更之日起</w:t>
            </w:r>
            <w:r>
              <w:rPr>
                <w:rFonts w:ascii="仿宋_GB2312" w:eastAsia="仿宋_GB2312" w:hint="eastAsia"/>
                <w:bCs/>
                <w:color w:val="000000"/>
                <w:sz w:val="18"/>
                <w:szCs w:val="18"/>
                <w:lang w:val="en-US" w:eastAsia="zh-CN"/>
              </w:rPr>
              <w:t>1</w:t>
            </w:r>
            <w:r>
              <w:rPr>
                <w:rFonts w:ascii="仿宋_GB2312" w:eastAsia="仿宋_GB2312" w:hint="eastAsia"/>
                <w:bCs/>
                <w:color w:val="000000"/>
                <w:sz w:val="18"/>
                <w:szCs w:val="18"/>
              </w:rPr>
              <w:t>个工作日内</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color w:val="000000"/>
                <w:sz w:val="18"/>
                <w:szCs w:val="18"/>
              </w:rPr>
              <w:t>应急管理部门</w:t>
            </w:r>
          </w:p>
        </w:tc>
        <w:tc>
          <w:tcPr>
            <w:tcW w:w="1496" w:type="dxa"/>
            <w:tcBorders>
              <w:top w:val="single" w:sz="4" w:space="0" w:color="auto"/>
              <w:left w:val="single" w:sz="4" w:space="0" w:color="auto"/>
              <w:bottom w:val="single" w:sz="4" w:space="0" w:color="auto"/>
              <w:right w:val="single" w:sz="4" w:space="0" w:color="auto"/>
            </w:tcBorders>
            <w:shd w:val="clear" w:color="auto" w:fill="auto"/>
            <w:vAlign w:val="center"/>
          </w:tcPr>
          <w:p>
            <w:pPr>
              <w:pStyle w:val="style0"/>
              <w:spacing w:lineRule="exact" w:line="240"/>
              <w:rPr>
                <w:rFonts w:ascii="仿宋_GB2312" w:eastAsia="仿宋_GB2312" w:hint="eastAsia"/>
                <w:sz w:val="18"/>
                <w:szCs w:val="18"/>
              </w:rPr>
            </w:pPr>
            <w:r>
              <w:rPr>
                <w:rFonts w:ascii="仿宋_GB2312" w:eastAsia="仿宋_GB2312" w:hint="eastAsia"/>
                <w:sz w:val="18"/>
                <w:szCs w:val="18"/>
              </w:rPr>
              <w:t xml:space="preserve">■政府网站   </w:t>
            </w:r>
            <w:r>
              <w:rPr>
                <w:rFonts w:ascii="仿宋_GB2312" w:eastAsia="仿宋_GB2312" w:hint="eastAsia"/>
                <w:sz w:val="18"/>
                <w:szCs w:val="18"/>
              </w:rPr>
              <w:br/>
            </w:r>
            <w:r>
              <w:rPr>
                <w:rFonts w:ascii="仿宋_GB2312" w:eastAsia="仿宋_GB2312" w:hint="eastAsia"/>
                <w:sz w:val="18"/>
                <w:szCs w:val="18"/>
              </w:rPr>
              <w:t xml:space="preserve">■两微一端   </w:t>
            </w:r>
            <w:r>
              <w:rPr>
                <w:rFonts w:ascii="仿宋_GB2312" w:eastAsia="仿宋_GB2312" w:hint="eastAsia"/>
                <w:sz w:val="18"/>
                <w:szCs w:val="18"/>
              </w:rPr>
              <w:br/>
            </w:r>
            <w:r>
              <w:rPr>
                <w:rFonts w:ascii="仿宋_GB2312" w:eastAsia="仿宋_GB2312" w:hint="eastAsia"/>
                <w:sz w:val="18"/>
                <w:szCs w:val="18"/>
              </w:rPr>
              <w:t xml:space="preserve">■广播电视   </w:t>
            </w:r>
          </w:p>
          <w:p>
            <w:pPr>
              <w:pStyle w:val="style0"/>
              <w:spacing w:lineRule="exact" w:line="240"/>
              <w:jc w:val="left"/>
              <w:rPr>
                <w:rFonts w:ascii="仿宋_GB2312" w:eastAsia="仿宋_GB2312" w:hint="eastAsia"/>
                <w:sz w:val="18"/>
                <w:szCs w:val="18"/>
              </w:rPr>
            </w:pPr>
            <w:r>
              <w:rPr>
                <w:rFonts w:ascii="仿宋_GB2312" w:eastAsia="仿宋_GB2312" w:hint="eastAsia"/>
                <w:sz w:val="18"/>
                <w:szCs w:val="18"/>
              </w:rPr>
              <w:t>■纸质媒体</w:t>
            </w:r>
            <w:r>
              <w:rPr>
                <w:rFonts w:ascii="仿宋_GB2312" w:eastAsia="仿宋_GB2312" w:hint="eastAsia"/>
                <w:sz w:val="18"/>
                <w:szCs w:val="18"/>
              </w:rPr>
              <w:br/>
            </w:r>
            <w:r>
              <w:rPr>
                <w:rFonts w:ascii="仿宋_GB2312" w:eastAsia="仿宋_GB2312" w:hint="eastAsia"/>
                <w:sz w:val="18"/>
                <w:szCs w:val="18"/>
              </w:rPr>
              <w:t>■公开查阅点</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color w:val="000000"/>
                <w:sz w:val="18"/>
                <w:szCs w:val="18"/>
              </w:rPr>
              <w:t>　</w:t>
            </w:r>
          </w:p>
        </w:tc>
        <w:tc>
          <w:tcPr>
            <w:tcW w:w="540"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sz w:val="18"/>
                <w:szCs w:val="18"/>
              </w:rPr>
              <w:t>√</w:t>
            </w:r>
          </w:p>
        </w:tc>
        <w:tc>
          <w:tcPr>
            <w:tcW w:w="664" w:type="dxa"/>
            <w:tcBorders>
              <w:top w:val="single" w:sz="4" w:space="0" w:color="auto"/>
              <w:left w:val="nil"/>
              <w:bottom w:val="single" w:sz="4" w:space="0" w:color="auto"/>
              <w:right w:val="single" w:sz="4" w:space="0" w:color="auto"/>
            </w:tcBorders>
            <w:shd w:val="clear" w:color="auto" w:fill="auto"/>
            <w:vAlign w:val="center"/>
          </w:tcPr>
          <w:p>
            <w:pPr>
              <w:pStyle w:val="style0"/>
              <w:rPr>
                <w:rFonts w:ascii="仿宋_GB2312" w:eastAsia="仿宋_GB2312" w:hint="eastAsia"/>
                <w:sz w:val="18"/>
                <w:szCs w:val="18"/>
              </w:rPr>
            </w:pPr>
            <w:r>
              <w:rPr>
                <w:rFonts w:ascii="仿宋_GB2312" w:eastAsia="仿宋_GB2312" w:hint="eastAsia"/>
                <w:bCs/>
                <w:sz w:val="18"/>
                <w:szCs w:val="18"/>
              </w:rPr>
              <w:t>　</w:t>
            </w:r>
          </w:p>
        </w:tc>
      </w:tr>
    </w:tbl>
    <w:p>
      <w:pPr>
        <w:pStyle w:val="style0"/>
        <w:rPr>
          <w:rFonts w:hint="eastAsia"/>
          <w:lang w:eastAsia="zh-CN"/>
        </w:rPr>
      </w:pPr>
    </w:p>
    <w:p>
      <w:pPr>
        <w:pStyle w:val="style0"/>
        <w:rPr>
          <w:rFonts w:hint="eastAsia"/>
          <w:lang w:val="en-US" w:eastAsia="zh-CN"/>
        </w:rPr>
      </w:pPr>
      <w:r>
        <w:rPr>
          <w:rFonts w:hint="eastAsia"/>
          <w:lang w:eastAsia="zh-CN"/>
        </w:rPr>
        <w:t>备注</w:t>
      </w:r>
      <w:r>
        <w:rPr>
          <w:rFonts w:hint="default"/>
          <w:lang w:val="en-US" w:eastAsia="zh-CN"/>
        </w:rPr>
        <w:t>:</w:t>
      </w:r>
      <w:r>
        <w:rPr>
          <w:rFonts w:hint="eastAsia"/>
          <w:lang w:val="en-US" w:eastAsia="zh-CN"/>
        </w:rPr>
        <w:t>删除项</w:t>
      </w:r>
    </w:p>
    <w:p>
      <w:pPr>
        <w:pStyle w:val="style0"/>
        <w:rPr>
          <w:rFonts w:hint="default"/>
          <w:lang w:val="en-US" w:eastAsia="zh-CN"/>
        </w:rPr>
      </w:pPr>
      <w:r>
        <w:rPr>
          <w:rFonts w:hint="default"/>
          <w:lang w:val="en-US" w:eastAsia="zh-CN"/>
        </w:rPr>
        <w:t>1.</w:t>
      </w:r>
      <w:r>
        <w:rPr>
          <w:rFonts w:hint="eastAsia"/>
          <w:lang w:val="en-US" w:eastAsia="zh-CN"/>
        </w:rPr>
        <w:t>一级事项</w:t>
      </w:r>
      <w:r>
        <w:rPr>
          <w:rFonts w:hint="default"/>
          <w:lang w:val="en-US" w:eastAsia="zh-CN"/>
        </w:rPr>
        <w:t>:</w:t>
      </w:r>
      <w:r>
        <w:rPr>
          <w:rFonts w:hint="eastAsia"/>
          <w:lang w:val="en-US" w:eastAsia="zh-CN"/>
        </w:rPr>
        <w:t>灾后救助       二级事项</w:t>
      </w:r>
      <w:r>
        <w:rPr>
          <w:rFonts w:hint="default"/>
          <w:lang w:val="en-US" w:eastAsia="zh-CN"/>
        </w:rPr>
        <w:t>:</w:t>
      </w:r>
      <w:r>
        <w:rPr>
          <w:rFonts w:hint="eastAsia"/>
          <w:lang w:val="en-US" w:eastAsia="zh-CN"/>
        </w:rPr>
        <w:t>居民住房恢复重建救助</w:t>
      </w:r>
      <w:r>
        <w:rPr>
          <w:rFonts w:hint="default"/>
          <w:lang w:val="en-US" w:eastAsia="zh-CN"/>
        </w:rPr>
        <w:t>(</w:t>
      </w:r>
      <w:r>
        <w:rPr>
          <w:rFonts w:hint="eastAsia"/>
          <w:lang w:val="en-US" w:eastAsia="zh-CN"/>
        </w:rPr>
        <w:t>不在我局权责清单、公共服务事项范围，不属我局公开</w:t>
      </w:r>
      <w:r>
        <w:rPr>
          <w:rFonts w:hint="default"/>
          <w:lang w:val="en-US" w:eastAsia="zh-CN"/>
        </w:rPr>
        <w:t>)</w:t>
      </w:r>
    </w:p>
    <w:p>
      <w:pPr>
        <w:pStyle w:val="style0"/>
        <w:rPr/>
      </w:pPr>
      <w:r>
        <w:rPr>
          <w:rFonts w:hint="default"/>
          <w:lang w:val="en-US" w:eastAsia="zh-CN"/>
        </w:rPr>
        <w:t>2.</w:t>
      </w:r>
      <w:r>
        <w:rPr>
          <w:rFonts w:hint="eastAsia"/>
          <w:lang w:val="en-US" w:eastAsia="zh-CN"/>
        </w:rPr>
        <w:t>一级事项</w:t>
      </w:r>
      <w:r>
        <w:rPr>
          <w:rFonts w:hint="default"/>
          <w:lang w:val="en-US" w:eastAsia="zh-CN"/>
        </w:rPr>
        <w:t>:</w:t>
      </w:r>
      <w:r>
        <w:rPr>
          <w:rFonts w:hint="eastAsia"/>
          <w:lang w:val="en-US" w:eastAsia="zh-CN"/>
        </w:rPr>
        <w:t>款物管理</w:t>
      </w:r>
      <w:r>
        <w:rPr>
          <w:rFonts w:hint="default"/>
          <w:lang w:val="en-US" w:eastAsia="zh-CN"/>
        </w:rPr>
        <w:t xml:space="preserve">       </w:t>
      </w:r>
      <w:r>
        <w:rPr>
          <w:rFonts w:hint="eastAsia"/>
          <w:lang w:val="en-US" w:eastAsia="zh-CN"/>
        </w:rPr>
        <w:t>二级事项</w:t>
      </w:r>
      <w:r>
        <w:rPr>
          <w:rFonts w:hint="default"/>
          <w:lang w:val="en-US" w:eastAsia="zh-CN"/>
        </w:rPr>
        <w:t>:</w:t>
      </w:r>
      <w:r>
        <w:rPr>
          <w:rFonts w:hint="eastAsia"/>
          <w:lang w:val="en-US" w:eastAsia="zh-CN"/>
        </w:rPr>
        <w:t>捐赠款物信息</w:t>
      </w:r>
      <w:r>
        <w:rPr>
          <w:rFonts w:hint="default"/>
          <w:lang w:val="en-US" w:eastAsia="zh-CN"/>
        </w:rPr>
        <w:t>(</w:t>
      </w:r>
      <w:r>
        <w:rPr>
          <w:rFonts w:hint="eastAsia"/>
          <w:lang w:val="en-US" w:eastAsia="zh-CN"/>
        </w:rPr>
        <w:t>不在我局权责清单、公共服务事项范围，不属我局公开</w:t>
      </w:r>
      <w:r>
        <w:rPr>
          <w:rFonts w:hint="default"/>
          <w:lang w:val="en-US" w:eastAsia="zh-CN"/>
        </w:rPr>
        <w:t>)</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A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mbria">
    <w:altName w:val="Cambria"/>
    <w:panose1 w:val="02040503050004030204"/>
    <w:charset w:val="00"/>
    <w:family w:val="roman"/>
    <w:pitch w:val="default"/>
    <w:sig w:usb0="E00002FF" w:usb1="400004FF" w:usb2="00000000" w:usb3="00000000" w:csb0="2000019F" w:csb1="00000000"/>
  </w:font>
  <w:font w:name="Calibri">
    <w:altName w:val="Calibri"/>
    <w:panose1 w:val="020f0502020002030204"/>
    <w:charset w:val="00"/>
    <w:family w:val="swiss"/>
    <w:pitch w:val="default"/>
    <w:sig w:usb0="E00002FF" w:usb1="4000ACFF" w:usb2="00000001" w:usb3="00000000" w:csb0="2000019F" w:csb1="00000000"/>
  </w:font>
  <w:font w:name="仿宋_GB2312">
    <w:altName w:val="仿宋_GB2312"/>
    <w:panose1 w:val="02010609030001010101"/>
    <w:charset w:val="86"/>
    <w:family w:val="modern"/>
    <w:pitch w:val="default"/>
    <w:sig w:usb0="00000001" w:usb1="080E0000" w:usb2="00000000" w:usb3="00000000" w:csb0="00040000" w:csb1="00000000"/>
  </w:font>
  <w:font w:name="等线">
    <w:altName w:val="Arial Unicode MS"/>
    <w:panose1 w:val="00000000000000000000"/>
    <w:charset w:val="86"/>
    <w:family w:val="auto"/>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华文中宋">
    <w:altName w:val="华文中宋"/>
    <w:panose1 w:val="02010600040001010101"/>
    <w:charset w:val="86"/>
    <w:family w:val="auto"/>
    <w:pitch w:val="default"/>
    <w:sig w:usb0="00000287" w:usb1="080F0000" w:usb2="00000000" w:usb3="00000000" w:csb0="0004009F" w:csb1="DFD70000"/>
  </w:font>
  <w:font w:name="仿宋">
    <w:altName w:val="仿宋"/>
    <w:panose1 w:val="02010609060001010101"/>
    <w:charset w:val="86"/>
    <w:family w:val="auto"/>
    <w:pitch w:val="default"/>
    <w:sig w:usb0="800002BF" w:usb1="38CF7CFA" w:usb2="00000016" w:usb3="00000000" w:csb0="00040001" w:csb1="00000000"/>
  </w:font>
  <w:font w:name="Wingdings 2">
    <w:altName w:val="Wingdings 2"/>
    <w:panose1 w:val="05020102010005070707"/>
    <w:charset w:val="02"/>
    <w:family w:val="roman"/>
    <w:pitch w:val="default"/>
    <w:sig w:usb0="00000000" w:usb1="00000000" w:usb2="00000000" w:usb3="00000000" w:csb0="80000000" w:csb1="00000000"/>
  </w:font>
  <w:font w:name="楷体_GB2312">
    <w:altName w:val="楷体"/>
    <w:panose1 w:val="02010609030001010101"/>
    <w:charset w:val="86"/>
    <w:family w:val="modern"/>
    <w:pitch w:val="default"/>
    <w:sig w:usb0="00000000" w:usb1="00000000" w:usb2="00000010" w:usb3="00000000" w:csb0="00040000" w:csb1="00000000"/>
  </w:font>
  <w:font w:name="Arial Unicode MS">
    <w:altName w:val="Arial Unicode MS"/>
    <w:panose1 w:val="020b0604020002020204"/>
    <w:charset w:val="86"/>
    <w:family w:val="auto"/>
    <w:pitch w:val="default"/>
    <w:sig w:usb0="FFFFFFFF" w:usb1="E9FFFFFF" w:usb2="0000003F" w:usb3="00000000" w:csb0="603F01FF" w:csb1="FFFF0000"/>
  </w:font>
  <w:font w:name="PMingLiU">
    <w:altName w:val="PMingLiU"/>
    <w:panose1 w:val="02020500000000000000"/>
    <w:charset w:val="88"/>
    <w:family w:val="auto"/>
    <w:pitch w:val="default"/>
    <w:sig w:usb0="A00002FF" w:usb1="28CFFCFA" w:usb2="00000016" w:usb3="00000000" w:csb0="00100001" w:csb1="00000000"/>
  </w:font>
  <w:font w:name="楷体">
    <w:altName w:val="楷体"/>
    <w:panose1 w:val="020106090600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3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Times New Roman" w:eastAsia="宋体" w:hAnsi="Calibri"/>
      <w:kern w:val="2"/>
      <w:sz w:val="21"/>
      <w:szCs w:val="22"/>
      <w:lang w:val="en-US" w:bidi="ar-SA" w:eastAsia="zh-CN"/>
    </w:rPr>
  </w:style>
  <w:style w:type="paragraph" w:styleId="style1">
    <w:name w:val="heading 1"/>
    <w:basedOn w:val="style0"/>
    <w:next w:val="style0"/>
    <w:qFormat/>
    <w:uiPriority w:val="0"/>
    <w:pPr>
      <w:keepNext/>
      <w:keepLines/>
      <w:spacing w:before="340" w:after="330" w:lineRule="auto" w:line="578"/>
      <w:outlineLvl w:val="0"/>
    </w:pPr>
    <w:rPr>
      <w:b/>
      <w:bCs/>
      <w:kern w:val="44"/>
      <w:sz w:val="44"/>
      <w:szCs w:val="44"/>
    </w:rPr>
  </w:style>
  <w:style w:type="character" w:default="1" w:styleId="style65">
    <w:name w:val="Default Paragraph Font"/>
    <w:next w:val="style65"/>
    <w:uiPriority w:val="0"/>
  </w:style>
  <w:style w:type="table" w:default="1" w:styleId="style105">
    <w:name w:val="Normal Table"/>
    <w:next w:val="style105"/>
    <w:uiPriority w:val="0"/>
    <w:pPr/>
    <w:rPr/>
    <w:tblPr>
      <w:tblLayout w:type="fixed"/>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Words>6653</Words>
  <Pages>1</Pages>
  <Characters>6747</Characters>
  <Application>WPS Office</Application>
  <DocSecurity>0</DocSecurity>
  <Paragraphs>915</Paragraphs>
  <ScaleCrop>false</ScaleCrop>
  <Company>揭西县安全生产监督管理局</Company>
  <LinksUpToDate>false</LinksUpToDate>
  <CharactersWithSpaces>7399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2020-11-03T08:02:00Z</dcterms:created>
  <dc:creator>admin</dc:creator>
  <lastModifiedBy>MI 6X</lastModifiedBy>
  <dcterms:modified xsi:type="dcterms:W3CDTF">2020-11-13T03:06:02Z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