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1920" w:firstLineChars="600"/>
        <w:jc w:val="both"/>
        <w:rPr>
          <w:rFonts w:hint="eastAsia" w:ascii="方正小标宋简体" w:hAnsi="方正小标宋简体" w:eastAsia="方正小标宋简体" w:cs="方正小标宋简体"/>
          <w:b w:val="0"/>
          <w:bCs w:val="0"/>
          <w:sz w:val="32"/>
          <w:szCs w:val="32"/>
        </w:rPr>
      </w:pPr>
      <w:r>
        <w:rPr>
          <w:rFonts w:ascii="方正小标宋简体" w:hAnsi="方正小标宋简体" w:eastAsia="方正小标宋简体" w:cs="方正小标宋简体"/>
          <w:sz w:val="32"/>
          <w:szCs w:val="32"/>
        </w:rPr>
        <w:t>《</w:t>
      </w:r>
      <w:r>
        <w:rPr>
          <w:rFonts w:hint="eastAsia" w:ascii="方正小标宋简体" w:hAnsi="方正小标宋简体" w:eastAsia="方正小标宋简体" w:cs="方正小标宋简体"/>
          <w:b w:val="0"/>
          <w:bCs w:val="0"/>
          <w:sz w:val="32"/>
          <w:szCs w:val="32"/>
        </w:rPr>
        <w:t>揭西县南门里历史文化街区保护规划</w:t>
      </w:r>
    </w:p>
    <w:p>
      <w:pPr>
        <w:spacing w:line="360" w:lineRule="auto"/>
        <w:jc w:val="center"/>
        <w:rPr>
          <w:rFonts w:hint="eastAsia" w:ascii="楷体_GB2312" w:eastAsia="楷体_GB2312"/>
          <w:b/>
          <w:bCs/>
          <w:sz w:val="48"/>
          <w:szCs w:val="52"/>
        </w:rPr>
      </w:pPr>
      <w:r>
        <w:rPr>
          <w:rFonts w:hint="eastAsia" w:ascii="方正小标宋简体" w:hAnsi="方正小标宋简体" w:eastAsia="方正小标宋简体" w:cs="方正小标宋简体"/>
          <w:b w:val="0"/>
          <w:bCs w:val="0"/>
          <w:sz w:val="32"/>
          <w:szCs w:val="32"/>
        </w:rPr>
        <w:t>（2022-2035年）</w:t>
      </w:r>
      <w:r>
        <w:rPr>
          <w:rFonts w:ascii="方正小标宋简体" w:hAnsi="方正小标宋简体" w:eastAsia="方正小标宋简体" w:cs="方正小标宋简体"/>
          <w:sz w:val="32"/>
          <w:szCs w:val="32"/>
        </w:rPr>
        <w:t>》</w:t>
      </w:r>
      <w:r>
        <w:rPr>
          <w:rFonts w:hint="eastAsia" w:ascii="方正小标宋简体" w:hAnsi="方正小标宋简体" w:eastAsia="方正小标宋简体" w:cs="方正小标宋简体"/>
          <w:sz w:val="32"/>
          <w:szCs w:val="32"/>
        </w:rPr>
        <w:t>主要规划内容</w:t>
      </w:r>
    </w:p>
    <w:p>
      <w:pPr>
        <w:pStyle w:val="2"/>
        <w:numPr>
          <w:ilvl w:val="-1"/>
          <w:numId w:val="0"/>
        </w:numPr>
        <w:spacing w:beforeLines="0" w:afterLines="0" w:line="580" w:lineRule="exact"/>
        <w:ind w:left="0" w:firstLine="0"/>
        <w:jc w:val="left"/>
        <w:rPr>
          <w:rFonts w:hint="eastAsia" w:ascii="黑体" w:hAnsi="黑体" w:eastAsia="黑体" w:cs="黑体"/>
          <w:b w:val="0"/>
          <w:bCs w:val="0"/>
          <w:sz w:val="32"/>
          <w:szCs w:val="32"/>
          <w14:ligatures w14:val="none"/>
        </w:rPr>
      </w:pPr>
      <w:bookmarkStart w:id="0" w:name="_Hlk148018439"/>
      <w:r>
        <w:rPr>
          <w:rFonts w:hint="eastAsia" w:ascii="黑体" w:hAnsi="黑体" w:eastAsia="黑体" w:cs="黑体"/>
          <w:b w:val="0"/>
          <w:bCs w:val="0"/>
          <w:sz w:val="32"/>
          <w:szCs w:val="32"/>
          <w14:ligatures w14:val="none"/>
        </w:rPr>
        <w:t>一、项目概述</w:t>
      </w:r>
    </w:p>
    <w:p>
      <w:pPr>
        <w:spacing w:line="360" w:lineRule="auto"/>
        <w:ind w:firstLine="640" w:firstLineChars="200"/>
        <w:jc w:val="left"/>
        <w:rPr>
          <w:rFonts w:hint="default" w:ascii="仿宋_GB2312" w:hAnsi="仿宋_GB2312" w:eastAsia="仿宋_GB2312" w:cs="仿宋_GB2312"/>
          <w:color w:val="000000"/>
          <w:sz w:val="32"/>
          <w:szCs w:val="32"/>
          <w14:ligatures w14:val="none"/>
        </w:rPr>
      </w:pPr>
      <w:r>
        <w:rPr>
          <w:rFonts w:hint="default" w:ascii="仿宋_GB2312" w:hAnsi="仿宋_GB2312" w:eastAsia="仿宋_GB2312" w:cs="仿宋_GB2312"/>
          <w:color w:val="000000"/>
          <w:sz w:val="32"/>
          <w:szCs w:val="32"/>
          <w14:ligatures w14:val="none"/>
        </w:rPr>
        <w:t>南门里历史文化街区规划范围</w:t>
      </w:r>
      <w:r>
        <w:rPr>
          <w:rFonts w:hint="eastAsia" w:ascii="仿宋_GB2312" w:hAnsi="仿宋_GB2312" w:eastAsia="仿宋_GB2312" w:cs="仿宋_GB2312"/>
          <w:color w:val="000000"/>
          <w:sz w:val="32"/>
          <w:szCs w:val="32"/>
          <w:lang w:eastAsia="zh-CN"/>
          <w14:ligatures w14:val="none"/>
        </w:rPr>
        <w:t>：</w:t>
      </w:r>
      <w:r>
        <w:rPr>
          <w:rFonts w:hint="default" w:ascii="仿宋_GB2312" w:hAnsi="仿宋_GB2312" w:eastAsia="仿宋_GB2312" w:cs="仿宋_GB2312"/>
          <w:color w:val="000000"/>
          <w:sz w:val="32"/>
          <w:szCs w:val="32"/>
          <w14:ligatures w14:val="none"/>
        </w:rPr>
        <w:t>东至书院巷，西至糖水灶巷、北爷后巷和双福巷，北至郭氏大夫第后巷和李仔园巷内巷，南至</w:t>
      </w:r>
      <w:bookmarkStart w:id="2" w:name="_GoBack"/>
      <w:bookmarkEnd w:id="2"/>
      <w:r>
        <w:rPr>
          <w:rFonts w:hint="default" w:ascii="仿宋_GB2312" w:hAnsi="仿宋_GB2312" w:eastAsia="仿宋_GB2312" w:cs="仿宋_GB2312"/>
          <w:color w:val="000000"/>
          <w:sz w:val="32"/>
          <w:szCs w:val="32"/>
          <w14:ligatures w14:val="none"/>
        </w:rPr>
        <w:t>云湖广场和湖滨东路以南约</w:t>
      </w:r>
      <w:r>
        <w:rPr>
          <w:rFonts w:ascii="仿宋_GB2312" w:hAnsi="仿宋_GB2312" w:eastAsia="仿宋_GB2312" w:cs="仿宋_GB2312"/>
          <w:color w:val="000000"/>
          <w:sz w:val="32"/>
          <w:szCs w:val="32"/>
          <w14:ligatures w14:val="none"/>
        </w:rPr>
        <w:t>400米范围，总面积为7.77公顷。</w:t>
      </w:r>
    </w:p>
    <w:p>
      <w:pPr>
        <w:spacing w:line="580" w:lineRule="exact"/>
        <w:ind w:firstLine="640" w:firstLineChars="200"/>
        <w:jc w:val="left"/>
        <w:rPr>
          <w:rFonts w:hint="default" w:ascii="仿宋_GB2312" w:hAnsi="仿宋_GB2312" w:eastAsia="仿宋_GB2312" w:cs="仿宋_GB2312"/>
          <w:color w:val="000000"/>
          <w:sz w:val="32"/>
          <w:szCs w:val="32"/>
          <w:lang w:val="en-US" w:eastAsia="zh-CN"/>
          <w14:ligatures w14:val="none"/>
        </w:rPr>
      </w:pPr>
      <w:r>
        <w:rPr>
          <w:rFonts w:hint="default" w:ascii="仿宋_GB2312" w:hAnsi="仿宋_GB2312" w:eastAsia="仿宋_GB2312" w:cs="仿宋_GB2312"/>
          <w:color w:val="000000"/>
          <w:sz w:val="32"/>
          <w:szCs w:val="32"/>
          <w:lang w:val="en-US" w:eastAsia="zh-CN"/>
          <w14:ligatures w14:val="none"/>
        </w:rPr>
        <w:t>适用范围：在规划范围内进行保护、整治及其他各类建设活动，均应执行本规划。</w:t>
      </w:r>
    </w:p>
    <w:p>
      <w:pPr>
        <w:pStyle w:val="2"/>
        <w:numPr>
          <w:ilvl w:val="-1"/>
          <w:numId w:val="0"/>
        </w:numPr>
        <w:spacing w:before="0" w:beforeLines="0" w:after="0" w:afterLines="0" w:line="580" w:lineRule="exact"/>
        <w:rPr>
          <w:rFonts w:ascii="黑体" w:hAnsi="黑体" w:eastAsia="黑体" w:cs="黑体"/>
          <w:b w:val="0"/>
          <w:bCs/>
          <w:sz w:val="32"/>
          <w:szCs w:val="32"/>
        </w:rPr>
      </w:pPr>
      <w:r>
        <w:rPr>
          <w:rFonts w:hint="eastAsia" w:ascii="黑体" w:hAnsi="黑体" w:eastAsia="黑体" w:cs="黑体"/>
          <w:b w:val="0"/>
          <w:bCs/>
          <w:sz w:val="32"/>
          <w:szCs w:val="32"/>
          <w:lang w:val="en-US" w:eastAsia="zh-CN"/>
        </w:rPr>
        <w:t>二、保</w:t>
      </w:r>
      <w:r>
        <w:rPr>
          <w:rFonts w:hint="eastAsia" w:ascii="黑体" w:hAnsi="黑体" w:eastAsia="黑体" w:cs="黑体"/>
          <w:b w:val="0"/>
          <w:bCs/>
          <w:sz w:val="32"/>
          <w:szCs w:val="32"/>
        </w:rPr>
        <w:t>护要素</w:t>
      </w:r>
    </w:p>
    <w:p>
      <w:pPr>
        <w:pStyle w:val="3"/>
        <w:spacing w:line="580" w:lineRule="exact"/>
        <w:ind w:left="0" w:firstLine="643" w:firstLineChars="200"/>
        <w:rPr>
          <w:rFonts w:ascii="楷体" w:hAnsi="楷体" w:eastAsia="楷体" w:cs="楷体"/>
          <w:sz w:val="32"/>
        </w:rPr>
      </w:pPr>
      <w:r>
        <w:rPr>
          <w:rFonts w:hint="eastAsia" w:ascii="楷体" w:hAnsi="楷体" w:eastAsia="楷体" w:cs="楷体"/>
          <w:sz w:val="32"/>
        </w:rPr>
        <w:t>物质文化遗产</w:t>
      </w:r>
    </w:p>
    <w:p>
      <w:pPr>
        <w:numPr>
          <w:ilvl w:val="-1"/>
          <w:numId w:val="0"/>
        </w:num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1、广东省文物保护单位3处，市县级文物保护单位3处，</w:t>
      </w:r>
      <w:r>
        <w:rPr>
          <w:rFonts w:hint="eastAsia" w:ascii="仿宋_GB2312" w:hAnsi="仿宋_GB2312" w:eastAsia="仿宋_GB2312" w:cs="仿宋_GB2312"/>
          <w:sz w:val="32"/>
          <w:szCs w:val="32"/>
        </w:rPr>
        <w:t>尚未核定公布为文物保护单位的登记不可移动文物</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历史建筑9处，推荐历史建筑3处</w:t>
      </w:r>
      <w:r>
        <w:rPr>
          <w:rFonts w:hint="eastAsia" w:ascii="仿宋_GB2312" w:hAnsi="仿宋_GB2312" w:eastAsia="仿宋_GB2312" w:cs="仿宋_GB2312"/>
          <w:sz w:val="32"/>
          <w:szCs w:val="32"/>
        </w:rPr>
        <w:t>。</w:t>
      </w:r>
    </w:p>
    <w:p>
      <w:pPr>
        <w:pStyle w:val="4"/>
        <w:ind w:firstLine="0"/>
        <w:rPr>
          <w:rFonts w:ascii="黑体" w:hAnsi="黑体" w:cs="黑体"/>
          <w:sz w:val="28"/>
          <w:szCs w:val="28"/>
        </w:rPr>
      </w:pPr>
      <w:r>
        <w:rPr>
          <w:rFonts w:hint="eastAsia" w:ascii="黑体" w:hAnsi="黑体" w:cs="黑体"/>
          <w:sz w:val="28"/>
          <w:szCs w:val="28"/>
        </w:rPr>
        <w:t xml:space="preserve">表1 </w:t>
      </w:r>
      <w:r>
        <w:rPr>
          <w:rFonts w:hint="eastAsia" w:ascii="黑体" w:hAnsi="黑体" w:cs="黑体"/>
          <w:sz w:val="28"/>
          <w:szCs w:val="28"/>
          <w:lang w:val="en-US" w:eastAsia="zh-CN"/>
        </w:rPr>
        <w:t>广东省</w:t>
      </w:r>
      <w:r>
        <w:rPr>
          <w:rFonts w:hint="eastAsia" w:ascii="黑体" w:hAnsi="黑体" w:cs="黑体"/>
          <w:sz w:val="28"/>
          <w:szCs w:val="28"/>
        </w:rPr>
        <w:t>文物保护名录</w:t>
      </w:r>
    </w:p>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628"/>
        <w:gridCol w:w="2555"/>
        <w:gridCol w:w="1936"/>
        <w:gridCol w:w="1034"/>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序号</w:t>
            </w:r>
          </w:p>
        </w:tc>
        <w:tc>
          <w:tcPr>
            <w:tcW w:w="8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名称</w:t>
            </w:r>
          </w:p>
        </w:tc>
        <w:tc>
          <w:tcPr>
            <w:tcW w:w="1376"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级别</w:t>
            </w:r>
          </w:p>
        </w:tc>
        <w:tc>
          <w:tcPr>
            <w:tcW w:w="104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类别</w:t>
            </w:r>
          </w:p>
        </w:tc>
        <w:tc>
          <w:tcPr>
            <w:tcW w:w="55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年代</w:t>
            </w:r>
          </w:p>
        </w:tc>
        <w:tc>
          <w:tcPr>
            <w:tcW w:w="738"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公布时间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eastAsia="zh-CN" w:bidi="ar"/>
              </w:rPr>
            </w:pPr>
            <w:r>
              <w:rPr>
                <w:rFonts w:hint="eastAsia" w:ascii="宋体" w:hAnsi="宋体" w:eastAsia="宋体" w:cs="宋体"/>
                <w:color w:val="252525"/>
                <w:kern w:val="0"/>
                <w:sz w:val="24"/>
                <w:szCs w:val="24"/>
                <w:lang w:val="en-US" w:eastAsia="zh-CN" w:bidi="ar"/>
              </w:rPr>
              <w:t>1</w:t>
            </w:r>
          </w:p>
        </w:tc>
        <w:tc>
          <w:tcPr>
            <w:tcW w:w="8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郭氏大夫第</w:t>
            </w:r>
          </w:p>
        </w:tc>
        <w:tc>
          <w:tcPr>
            <w:tcW w:w="1376"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bidi="ar"/>
              </w:rPr>
            </w:pPr>
            <w:r>
              <w:rPr>
                <w:rFonts w:hint="eastAsia" w:ascii="宋体" w:hAnsi="宋体" w:eastAsia="宋体" w:cs="宋体"/>
                <w:color w:val="252525"/>
                <w:kern w:val="0"/>
                <w:sz w:val="24"/>
                <w:szCs w:val="24"/>
                <w:lang w:val="en-US" w:eastAsia="zh-CN" w:bidi="ar"/>
              </w:rPr>
              <w:t>省级文物保护单位</w:t>
            </w:r>
          </w:p>
        </w:tc>
        <w:tc>
          <w:tcPr>
            <w:tcW w:w="104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古建筑</w:t>
            </w:r>
          </w:p>
        </w:tc>
        <w:tc>
          <w:tcPr>
            <w:tcW w:w="55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清代</w:t>
            </w:r>
          </w:p>
        </w:tc>
        <w:tc>
          <w:tcPr>
            <w:tcW w:w="738"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val="en-US" w:eastAsia="zh-CN" w:bidi="ar"/>
              </w:rPr>
              <w:t>2010</w:t>
            </w:r>
            <w:r>
              <w:rPr>
                <w:rFonts w:hint="eastAsia" w:ascii="宋体" w:hAnsi="宋体" w:eastAsia="宋体" w:cs="宋体"/>
                <w:color w:val="252525"/>
                <w:kern w:val="0"/>
                <w:sz w:val="24"/>
                <w:szCs w:val="24"/>
                <w:lang w:bidi="ar"/>
              </w:rPr>
              <w:t>/5/10</w:t>
            </w:r>
          </w:p>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2</w:t>
            </w:r>
          </w:p>
        </w:tc>
        <w:tc>
          <w:tcPr>
            <w:tcW w:w="8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棉湖战役东征军指挥部旧址（兴道书院）</w:t>
            </w:r>
          </w:p>
        </w:tc>
        <w:tc>
          <w:tcPr>
            <w:tcW w:w="1376"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val="en-US" w:eastAsia="zh-CN" w:bidi="ar"/>
              </w:rPr>
              <w:t>省级文物保护单位</w:t>
            </w:r>
          </w:p>
        </w:tc>
        <w:tc>
          <w:tcPr>
            <w:tcW w:w="104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近现代重要史迹及代表性建筑</w:t>
            </w:r>
          </w:p>
        </w:tc>
        <w:tc>
          <w:tcPr>
            <w:tcW w:w="55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中华民国</w:t>
            </w:r>
          </w:p>
        </w:tc>
        <w:tc>
          <w:tcPr>
            <w:tcW w:w="738"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bidi="ar"/>
              </w:rPr>
              <w:t>2019/</w:t>
            </w:r>
            <w:r>
              <w:rPr>
                <w:rFonts w:hint="eastAsia" w:ascii="宋体" w:hAnsi="宋体" w:eastAsia="宋体" w:cs="宋体"/>
                <w:color w:val="252525"/>
                <w:kern w:val="0"/>
                <w:sz w:val="24"/>
                <w:szCs w:val="24"/>
                <w:lang w:val="en-US" w:eastAsia="zh-CN" w:bidi="ar"/>
              </w:rPr>
              <w:t>4</w:t>
            </w:r>
            <w:r>
              <w:rPr>
                <w:rFonts w:hint="eastAsia" w:ascii="宋体" w:hAnsi="宋体" w:eastAsia="宋体" w:cs="宋体"/>
                <w:color w:val="252525"/>
                <w:kern w:val="0"/>
                <w:sz w:val="24"/>
                <w:szCs w:val="24"/>
                <w:lang w:bidi="ar"/>
              </w:rPr>
              <w:t>/1</w:t>
            </w:r>
            <w:r>
              <w:rPr>
                <w:rFonts w:hint="eastAsia" w:ascii="宋体" w:hAnsi="宋体" w:eastAsia="宋体" w:cs="宋体"/>
                <w:color w:val="252525"/>
                <w:kern w:val="0"/>
                <w:sz w:val="24"/>
                <w:szCs w:val="24"/>
                <w:lang w:val="en-US" w:eastAsia="zh-CN" w:bidi="ar"/>
              </w:rPr>
              <w:t>9</w:t>
            </w:r>
          </w:p>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3</w:t>
            </w:r>
          </w:p>
        </w:tc>
        <w:tc>
          <w:tcPr>
            <w:tcW w:w="8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洪氏爱祖祠</w:t>
            </w:r>
          </w:p>
        </w:tc>
        <w:tc>
          <w:tcPr>
            <w:tcW w:w="1376"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val="en-US" w:eastAsia="zh-CN" w:bidi="ar"/>
              </w:rPr>
              <w:t>省级文物保护单位</w:t>
            </w:r>
          </w:p>
        </w:tc>
        <w:tc>
          <w:tcPr>
            <w:tcW w:w="104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古建筑</w:t>
            </w:r>
          </w:p>
        </w:tc>
        <w:tc>
          <w:tcPr>
            <w:tcW w:w="55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1922年</w:t>
            </w:r>
          </w:p>
        </w:tc>
        <w:tc>
          <w:tcPr>
            <w:tcW w:w="738"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bidi="ar"/>
              </w:rPr>
            </w:pPr>
            <w:r>
              <w:rPr>
                <w:rFonts w:hint="eastAsia" w:ascii="宋体" w:hAnsi="宋体" w:eastAsia="宋体" w:cs="宋体"/>
                <w:color w:val="252525"/>
                <w:kern w:val="0"/>
                <w:sz w:val="24"/>
                <w:szCs w:val="24"/>
                <w:lang w:bidi="ar"/>
              </w:rPr>
              <w:t>2022/7/23</w:t>
            </w:r>
          </w:p>
        </w:tc>
      </w:tr>
    </w:tbl>
    <w:p>
      <w:pPr>
        <w:spacing w:line="580" w:lineRule="exact"/>
        <w:ind w:firstLine="0"/>
        <w:jc w:val="left"/>
        <w:rPr>
          <w:rFonts w:hint="eastAsia" w:ascii="仿宋_GB2312" w:hAnsi="仿宋_GB2312" w:eastAsia="仿宋_GB2312" w:cs="仿宋_GB2312"/>
          <w:sz w:val="32"/>
          <w:szCs w:val="32"/>
        </w:rPr>
      </w:pPr>
    </w:p>
    <w:p>
      <w:pPr>
        <w:pStyle w:val="4"/>
        <w:spacing w:line="580" w:lineRule="exact"/>
        <w:ind w:firstLine="0"/>
        <w:jc w:val="center"/>
        <w:rPr>
          <w:rFonts w:hint="eastAsia" w:ascii="仿宋_GB2312" w:hAnsi="仿宋_GB2312" w:eastAsia="仿宋_GB2312" w:cs="仿宋_GB2312"/>
          <w:sz w:val="32"/>
          <w:szCs w:val="32"/>
        </w:rPr>
      </w:pPr>
      <w:r>
        <w:rPr>
          <w:rFonts w:hint="eastAsia" w:ascii="黑体" w:hAnsi="黑体" w:cs="黑体"/>
          <w:sz w:val="28"/>
          <w:szCs w:val="28"/>
        </w:rPr>
        <w:t>表</w:t>
      </w:r>
      <w:r>
        <w:rPr>
          <w:rFonts w:hint="eastAsia" w:ascii="黑体" w:hAnsi="黑体" w:cs="黑体"/>
          <w:sz w:val="28"/>
          <w:szCs w:val="28"/>
          <w:lang w:val="en-US" w:eastAsia="zh-CN"/>
        </w:rPr>
        <w:t>2</w:t>
      </w:r>
      <w:r>
        <w:rPr>
          <w:rFonts w:hint="eastAsia" w:ascii="黑体" w:hAnsi="黑体" w:cs="黑体"/>
          <w:sz w:val="28"/>
          <w:szCs w:val="28"/>
        </w:rPr>
        <w:t xml:space="preserve"> </w:t>
      </w:r>
      <w:r>
        <w:rPr>
          <w:rFonts w:hint="eastAsia" w:ascii="黑体" w:hAnsi="黑体" w:cs="黑体"/>
          <w:sz w:val="28"/>
          <w:szCs w:val="28"/>
          <w:lang w:val="en-US" w:eastAsia="zh-CN"/>
        </w:rPr>
        <w:t>市县级</w:t>
      </w:r>
      <w:r>
        <w:rPr>
          <w:rFonts w:hint="eastAsia" w:ascii="黑体" w:hAnsi="黑体" w:cs="黑体"/>
          <w:sz w:val="28"/>
          <w:szCs w:val="28"/>
        </w:rPr>
        <w:t>文物保护名录</w:t>
      </w:r>
    </w:p>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629"/>
        <w:gridCol w:w="2557"/>
        <w:gridCol w:w="1939"/>
        <w:gridCol w:w="1034"/>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408"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序号</w:t>
            </w:r>
          </w:p>
        </w:tc>
        <w:tc>
          <w:tcPr>
            <w:tcW w:w="8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名称</w:t>
            </w:r>
          </w:p>
        </w:tc>
        <w:tc>
          <w:tcPr>
            <w:tcW w:w="13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级别</w:t>
            </w:r>
          </w:p>
        </w:tc>
        <w:tc>
          <w:tcPr>
            <w:tcW w:w="104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类别</w:t>
            </w:r>
          </w:p>
        </w:tc>
        <w:tc>
          <w:tcPr>
            <w:tcW w:w="55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年代</w:t>
            </w:r>
          </w:p>
        </w:tc>
        <w:tc>
          <w:tcPr>
            <w:tcW w:w="73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公布时间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8"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1</w:t>
            </w:r>
          </w:p>
        </w:tc>
        <w:tc>
          <w:tcPr>
            <w:tcW w:w="877" w:type="pct"/>
            <w:noWrap w:val="0"/>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永昌古庙暨云湖庵</w:t>
            </w:r>
          </w:p>
        </w:tc>
        <w:tc>
          <w:tcPr>
            <w:tcW w:w="13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市县级文物保护单位</w:t>
            </w:r>
          </w:p>
        </w:tc>
        <w:tc>
          <w:tcPr>
            <w:tcW w:w="104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古建筑</w:t>
            </w:r>
          </w:p>
        </w:tc>
        <w:tc>
          <w:tcPr>
            <w:tcW w:w="557"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w:t>
            </w:r>
          </w:p>
        </w:tc>
        <w:tc>
          <w:tcPr>
            <w:tcW w:w="73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1994/5/25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8"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w:t>
            </w:r>
          </w:p>
        </w:tc>
        <w:tc>
          <w:tcPr>
            <w:tcW w:w="877" w:type="pct"/>
            <w:noWrap w:val="0"/>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城隍庙暨棉善古庵</w:t>
            </w:r>
          </w:p>
        </w:tc>
        <w:tc>
          <w:tcPr>
            <w:tcW w:w="13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市县级文物保护单位</w:t>
            </w:r>
          </w:p>
        </w:tc>
        <w:tc>
          <w:tcPr>
            <w:tcW w:w="104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古建筑</w:t>
            </w:r>
          </w:p>
        </w:tc>
        <w:tc>
          <w:tcPr>
            <w:tcW w:w="557"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明、清</w:t>
            </w:r>
          </w:p>
        </w:tc>
        <w:tc>
          <w:tcPr>
            <w:tcW w:w="73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2003/7/21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8"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3</w:t>
            </w:r>
          </w:p>
        </w:tc>
        <w:tc>
          <w:tcPr>
            <w:tcW w:w="877" w:type="pct"/>
            <w:noWrap w:val="0"/>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二楼吴</w:t>
            </w:r>
            <w:r>
              <w:rPr>
                <w:rFonts w:hint="eastAsia" w:ascii="宋体" w:hAnsi="宋体" w:eastAsia="宋体" w:cs="宋体"/>
                <w:color w:val="252525"/>
                <w:kern w:val="0"/>
                <w:sz w:val="24"/>
                <w:szCs w:val="24"/>
                <w:lang w:val="en-US" w:eastAsia="zh-CN" w:bidi="ar"/>
              </w:rPr>
              <w:t>民居</w:t>
            </w:r>
          </w:p>
        </w:tc>
        <w:tc>
          <w:tcPr>
            <w:tcW w:w="1377"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市县级文物保护单位</w:t>
            </w:r>
          </w:p>
        </w:tc>
        <w:tc>
          <w:tcPr>
            <w:tcW w:w="104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古建筑</w:t>
            </w:r>
          </w:p>
        </w:tc>
        <w:tc>
          <w:tcPr>
            <w:tcW w:w="557"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w:t>
            </w:r>
          </w:p>
        </w:tc>
        <w:tc>
          <w:tcPr>
            <w:tcW w:w="73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2015/12/1</w:t>
            </w:r>
          </w:p>
        </w:tc>
      </w:tr>
    </w:tbl>
    <w:p>
      <w:pPr>
        <w:pStyle w:val="4"/>
        <w:spacing w:line="580" w:lineRule="exact"/>
        <w:ind w:firstLine="0"/>
        <w:jc w:val="center"/>
        <w:rPr>
          <w:rFonts w:hint="eastAsia" w:ascii="黑体" w:hAnsi="黑体" w:cs="黑体"/>
          <w:sz w:val="28"/>
          <w:szCs w:val="28"/>
        </w:rPr>
      </w:pPr>
    </w:p>
    <w:p>
      <w:pPr>
        <w:pStyle w:val="4"/>
        <w:spacing w:line="580" w:lineRule="exact"/>
        <w:ind w:firstLine="0"/>
        <w:jc w:val="center"/>
        <w:rPr>
          <w:rFonts w:hint="eastAsia" w:ascii="仿宋_GB2312" w:hAnsi="仿宋_GB2312" w:eastAsia="仿宋_GB2312" w:cs="仿宋_GB2312"/>
          <w:sz w:val="32"/>
          <w:szCs w:val="32"/>
        </w:rPr>
      </w:pPr>
      <w:r>
        <w:rPr>
          <w:rFonts w:hint="eastAsia" w:ascii="黑体" w:hAnsi="黑体" w:cs="黑体"/>
          <w:sz w:val="28"/>
          <w:szCs w:val="28"/>
        </w:rPr>
        <w:t>表</w:t>
      </w:r>
      <w:r>
        <w:rPr>
          <w:rFonts w:hint="eastAsia" w:ascii="黑体" w:hAnsi="黑体" w:cs="黑体"/>
          <w:sz w:val="28"/>
          <w:szCs w:val="28"/>
          <w:lang w:val="en-US" w:eastAsia="zh-CN"/>
        </w:rPr>
        <w:t>3</w:t>
      </w:r>
      <w:r>
        <w:rPr>
          <w:rFonts w:hint="eastAsia" w:ascii="黑体" w:hAnsi="黑体" w:cs="黑体"/>
          <w:sz w:val="28"/>
          <w:szCs w:val="28"/>
        </w:rPr>
        <w:t xml:space="preserve"> </w:t>
      </w:r>
      <w:r>
        <w:rPr>
          <w:rFonts w:hint="eastAsia" w:ascii="黑体" w:hAnsi="黑体" w:cs="黑体"/>
          <w:sz w:val="28"/>
          <w:szCs w:val="28"/>
          <w:lang w:val="en-US" w:eastAsia="zh-CN"/>
        </w:rPr>
        <w:t>登记不可移动</w:t>
      </w:r>
      <w:r>
        <w:rPr>
          <w:rFonts w:hint="eastAsia" w:ascii="黑体" w:hAnsi="黑体" w:cs="黑体"/>
          <w:sz w:val="28"/>
          <w:szCs w:val="28"/>
        </w:rPr>
        <w:t>文物保护名录</w:t>
      </w:r>
    </w:p>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2345"/>
        <w:gridCol w:w="2347"/>
        <w:gridCol w:w="2386"/>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blHeader/>
        </w:trPr>
        <w:tc>
          <w:tcPr>
            <w:tcW w:w="40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序号</w:t>
            </w:r>
          </w:p>
        </w:tc>
        <w:tc>
          <w:tcPr>
            <w:tcW w:w="126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名称</w:t>
            </w:r>
          </w:p>
        </w:tc>
        <w:tc>
          <w:tcPr>
            <w:tcW w:w="126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级别</w:t>
            </w:r>
          </w:p>
        </w:tc>
        <w:tc>
          <w:tcPr>
            <w:tcW w:w="1285"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类别</w:t>
            </w:r>
          </w:p>
        </w:tc>
        <w:tc>
          <w:tcPr>
            <w:tcW w:w="78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年代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rPr>
              <w:t>1</w:t>
            </w:r>
          </w:p>
        </w:tc>
        <w:tc>
          <w:tcPr>
            <w:tcW w:w="126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洪氏观察第</w:t>
            </w:r>
          </w:p>
        </w:tc>
        <w:tc>
          <w:tcPr>
            <w:tcW w:w="126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登记不可移动</w:t>
            </w:r>
            <w:r>
              <w:rPr>
                <w:rFonts w:hint="eastAsia" w:ascii="宋体" w:hAnsi="宋体" w:eastAsia="宋体" w:cs="宋体"/>
                <w:color w:val="252525"/>
                <w:kern w:val="0"/>
                <w:sz w:val="24"/>
                <w:szCs w:val="24"/>
                <w:lang w:bidi="ar"/>
              </w:rPr>
              <w:t>文物</w:t>
            </w:r>
          </w:p>
        </w:tc>
        <w:tc>
          <w:tcPr>
            <w:tcW w:w="128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近现代重要史迹及代表性建筑</w:t>
            </w:r>
          </w:p>
        </w:tc>
        <w:tc>
          <w:tcPr>
            <w:tcW w:w="78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rPr>
              <w:t>2</w:t>
            </w:r>
          </w:p>
        </w:tc>
        <w:tc>
          <w:tcPr>
            <w:tcW w:w="126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林景拔翰林第</w:t>
            </w:r>
          </w:p>
        </w:tc>
        <w:tc>
          <w:tcPr>
            <w:tcW w:w="126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登记不可移动</w:t>
            </w:r>
            <w:r>
              <w:rPr>
                <w:rFonts w:hint="eastAsia" w:ascii="宋体" w:hAnsi="宋体" w:eastAsia="宋体" w:cs="宋体"/>
                <w:color w:val="252525"/>
                <w:kern w:val="0"/>
                <w:sz w:val="24"/>
                <w:szCs w:val="24"/>
                <w:lang w:bidi="ar"/>
              </w:rPr>
              <w:t>文物</w:t>
            </w:r>
          </w:p>
        </w:tc>
        <w:tc>
          <w:tcPr>
            <w:tcW w:w="128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古建筑</w:t>
            </w:r>
          </w:p>
        </w:tc>
        <w:tc>
          <w:tcPr>
            <w:tcW w:w="78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4"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rPr>
              <w:t>3</w:t>
            </w:r>
          </w:p>
        </w:tc>
        <w:tc>
          <w:tcPr>
            <w:tcW w:w="126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三山门楼</w:t>
            </w:r>
          </w:p>
        </w:tc>
        <w:tc>
          <w:tcPr>
            <w:tcW w:w="1264"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登记不可移动</w:t>
            </w:r>
            <w:r>
              <w:rPr>
                <w:rFonts w:hint="eastAsia" w:ascii="宋体" w:hAnsi="宋体" w:eastAsia="宋体" w:cs="宋体"/>
                <w:color w:val="252525"/>
                <w:kern w:val="0"/>
                <w:sz w:val="24"/>
                <w:szCs w:val="24"/>
                <w:lang w:bidi="ar"/>
              </w:rPr>
              <w:t>文物</w:t>
            </w:r>
          </w:p>
        </w:tc>
        <w:tc>
          <w:tcPr>
            <w:tcW w:w="128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古建筑</w:t>
            </w:r>
          </w:p>
        </w:tc>
        <w:tc>
          <w:tcPr>
            <w:tcW w:w="78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04" w:type="pct"/>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rPr>
              <w:t>4</w:t>
            </w:r>
          </w:p>
        </w:tc>
        <w:tc>
          <w:tcPr>
            <w:tcW w:w="1263" w:type="pct"/>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云湖桥</w:t>
            </w:r>
          </w:p>
        </w:tc>
        <w:tc>
          <w:tcPr>
            <w:tcW w:w="1264" w:type="pct"/>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登记不可移动</w:t>
            </w:r>
            <w:r>
              <w:rPr>
                <w:rFonts w:hint="eastAsia" w:ascii="宋体" w:hAnsi="宋体" w:eastAsia="宋体" w:cs="宋体"/>
                <w:color w:val="252525"/>
                <w:kern w:val="0"/>
                <w:sz w:val="24"/>
                <w:szCs w:val="24"/>
                <w:lang w:bidi="ar"/>
              </w:rPr>
              <w:t>文物</w:t>
            </w:r>
          </w:p>
        </w:tc>
        <w:tc>
          <w:tcPr>
            <w:tcW w:w="1285" w:type="pct"/>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古建筑</w:t>
            </w:r>
          </w:p>
        </w:tc>
        <w:tc>
          <w:tcPr>
            <w:tcW w:w="781" w:type="pct"/>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清</w:t>
            </w:r>
          </w:p>
        </w:tc>
      </w:tr>
    </w:tbl>
    <w:p>
      <w:pPr>
        <w:rPr>
          <w:rFonts w:hint="eastAsia"/>
        </w:rPr>
      </w:pPr>
    </w:p>
    <w:p>
      <w:pPr>
        <w:pStyle w:val="4"/>
        <w:spacing w:line="580" w:lineRule="exact"/>
        <w:ind w:firstLine="0"/>
        <w:jc w:val="center"/>
        <w:rPr>
          <w:rFonts w:hint="eastAsia" w:ascii="黑体" w:hAnsi="黑体" w:cs="黑体"/>
          <w:sz w:val="28"/>
          <w:szCs w:val="28"/>
        </w:rPr>
      </w:pPr>
      <w:r>
        <w:rPr>
          <w:rFonts w:hint="eastAsia" w:ascii="黑体" w:hAnsi="黑体" w:cs="黑体"/>
          <w:sz w:val="28"/>
          <w:szCs w:val="28"/>
        </w:rPr>
        <w:t>表</w:t>
      </w:r>
      <w:r>
        <w:rPr>
          <w:rFonts w:hint="eastAsia" w:ascii="黑体" w:hAnsi="黑体" w:cs="黑体"/>
          <w:sz w:val="28"/>
          <w:szCs w:val="28"/>
          <w:lang w:val="en-US" w:eastAsia="zh-CN"/>
        </w:rPr>
        <w:t>4</w:t>
      </w:r>
      <w:r>
        <w:rPr>
          <w:rFonts w:hint="eastAsia" w:ascii="黑体" w:hAnsi="黑体" w:cs="黑体"/>
          <w:sz w:val="28"/>
          <w:szCs w:val="28"/>
        </w:rPr>
        <w:t xml:space="preserve"> </w:t>
      </w:r>
      <w:r>
        <w:rPr>
          <w:rFonts w:hint="eastAsia" w:ascii="黑体" w:hAnsi="黑体" w:cs="黑体"/>
          <w:sz w:val="28"/>
          <w:szCs w:val="28"/>
          <w:lang w:val="en-US" w:eastAsia="zh-CN"/>
        </w:rPr>
        <w:t>历史建筑</w:t>
      </w:r>
      <w:r>
        <w:rPr>
          <w:rFonts w:hint="eastAsia" w:ascii="黑体" w:hAnsi="黑体" w:cs="黑体"/>
          <w:sz w:val="28"/>
          <w:szCs w:val="28"/>
        </w:rPr>
        <w:t>保护名录</w:t>
      </w:r>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570"/>
        <w:gridCol w:w="1432"/>
        <w:gridCol w:w="2454"/>
        <w:gridCol w:w="1878"/>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395"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序号</w:t>
            </w:r>
          </w:p>
        </w:tc>
        <w:tc>
          <w:tcPr>
            <w:tcW w:w="845"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名称</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级别</w:t>
            </w:r>
          </w:p>
        </w:tc>
        <w:tc>
          <w:tcPr>
            <w:tcW w:w="132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类别</w:t>
            </w:r>
          </w:p>
        </w:tc>
        <w:tc>
          <w:tcPr>
            <w:tcW w:w="101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年代</w:t>
            </w:r>
          </w:p>
        </w:tc>
        <w:tc>
          <w:tcPr>
            <w:tcW w:w="653"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
                <w:bCs/>
                <w:color w:val="252525"/>
                <w:kern w:val="0"/>
                <w:sz w:val="24"/>
                <w:szCs w:val="24"/>
                <w:lang w:val="en-US" w:eastAsia="zh-CN" w:bidi="ar"/>
                <w14:ligatures w14:val="standardContextual"/>
              </w:rPr>
            </w:pPr>
            <w:r>
              <w:rPr>
                <w:rFonts w:hint="eastAsia" w:ascii="宋体" w:hAnsi="宋体" w:eastAsia="宋体" w:cs="宋体"/>
                <w:b/>
                <w:bCs/>
                <w:color w:val="252525"/>
                <w:kern w:val="0"/>
                <w:sz w:val="24"/>
                <w:szCs w:val="24"/>
                <w:lang w:bidi="ar"/>
              </w:rPr>
              <w:t>公布时间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1</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信祖书室</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清末（1840-1912）</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杨氏聘祖室</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中华民国（1912-1949）</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3</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李仔园</w:t>
            </w:r>
            <w:r>
              <w:rPr>
                <w:rFonts w:hint="eastAsia" w:ascii="宋体" w:hAnsi="宋体" w:eastAsia="宋体" w:cs="宋体"/>
                <w:bCs w:val="0"/>
                <w:color w:val="252525"/>
                <w:kern w:val="0"/>
                <w:sz w:val="24"/>
                <w:szCs w:val="24"/>
                <w:lang w:val="en-US" w:eastAsia="zh-CN" w:bidi="ar"/>
              </w:rPr>
              <w:t>5</w:t>
            </w:r>
            <w:r>
              <w:rPr>
                <w:rFonts w:hint="eastAsia" w:ascii="宋体" w:hAnsi="宋体" w:eastAsia="宋体" w:cs="宋体"/>
                <w:bCs w:val="0"/>
                <w:color w:val="252525"/>
                <w:kern w:val="0"/>
                <w:sz w:val="24"/>
                <w:szCs w:val="24"/>
                <w:lang w:bidi="ar"/>
              </w:rPr>
              <w:t>号</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祠堂和乡村公共建筑、教育和科研建筑</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清中叶及以前（1644-1840）</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4</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李仔园</w:t>
            </w:r>
            <w:r>
              <w:rPr>
                <w:rFonts w:hint="eastAsia" w:ascii="宋体" w:hAnsi="宋体" w:eastAsia="宋体" w:cs="宋体"/>
                <w:bCs w:val="0"/>
                <w:color w:val="252525"/>
                <w:kern w:val="0"/>
                <w:sz w:val="24"/>
                <w:szCs w:val="24"/>
                <w:lang w:val="en-US" w:bidi="ar"/>
              </w:rPr>
              <w:t>6</w:t>
            </w:r>
            <w:r>
              <w:rPr>
                <w:rFonts w:hint="eastAsia" w:ascii="宋体" w:hAnsi="宋体" w:eastAsia="宋体" w:cs="宋体"/>
                <w:bCs w:val="0"/>
                <w:color w:val="252525"/>
                <w:kern w:val="0"/>
                <w:sz w:val="24"/>
                <w:szCs w:val="24"/>
                <w:lang w:bidi="ar"/>
              </w:rPr>
              <w:t>号</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清中叶及以前（1644-1840）</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5</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会元居</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清中叶及以前（1644-1840）</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6</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柚园内大屋</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宗教纪念、祭祀</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中华民国（1912-1949）</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7</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琅環别墅</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清末（1840-1912）</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8</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陈氏公厅</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祠堂和乡村公共建筑</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清中叶及以前（1644-1840）</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395"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9</w:t>
            </w:r>
          </w:p>
        </w:tc>
        <w:tc>
          <w:tcPr>
            <w:tcW w:w="845" w:type="pct"/>
            <w:noWrap w:val="0"/>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bidi="ar"/>
              </w:rPr>
              <w:t>柚园内</w:t>
            </w:r>
            <w:r>
              <w:rPr>
                <w:rFonts w:hint="eastAsia" w:ascii="宋体" w:hAnsi="宋体" w:eastAsia="宋体" w:cs="宋体"/>
                <w:bCs w:val="0"/>
                <w:color w:val="252525"/>
                <w:kern w:val="0"/>
                <w:sz w:val="24"/>
                <w:szCs w:val="24"/>
                <w:lang w:val="en-US" w:bidi="ar"/>
              </w:rPr>
              <w:t>15</w:t>
            </w:r>
            <w:r>
              <w:rPr>
                <w:rFonts w:hint="eastAsia" w:ascii="宋体" w:hAnsi="宋体" w:eastAsia="宋体" w:cs="宋体"/>
                <w:bCs w:val="0"/>
                <w:color w:val="252525"/>
                <w:kern w:val="0"/>
                <w:sz w:val="24"/>
                <w:szCs w:val="24"/>
                <w:lang w:bidi="ar"/>
              </w:rPr>
              <w:t>号</w:t>
            </w:r>
          </w:p>
        </w:tc>
        <w:tc>
          <w:tcPr>
            <w:tcW w:w="771" w:type="pct"/>
            <w:noWrap w:val="0"/>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历史建筑</w:t>
            </w:r>
          </w:p>
        </w:tc>
        <w:tc>
          <w:tcPr>
            <w:tcW w:w="132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011"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清代以前（1644年以前）</w:t>
            </w:r>
          </w:p>
        </w:tc>
        <w:tc>
          <w:tcPr>
            <w:tcW w:w="653" w:type="pct"/>
            <w:noWrap w:val="0"/>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bCs w:val="0"/>
                <w:color w:val="252525"/>
                <w:kern w:val="0"/>
                <w:sz w:val="24"/>
                <w:szCs w:val="24"/>
                <w:lang w:val="en-US" w:eastAsia="zh-CN" w:bidi="ar"/>
                <w14:ligatures w14:val="standardContextual"/>
              </w:rPr>
              <w:t>2021年</w:t>
            </w:r>
          </w:p>
        </w:tc>
      </w:tr>
    </w:tbl>
    <w:p>
      <w:pPr>
        <w:spacing w:line="580" w:lineRule="exact"/>
        <w:ind w:firstLine="0"/>
        <w:jc w:val="left"/>
        <w:rPr>
          <w:rFonts w:hint="eastAsia" w:ascii="仿宋_GB2312" w:hAnsi="仿宋_GB2312" w:eastAsia="仿宋_GB2312" w:cs="仿宋_GB2312"/>
          <w:sz w:val="32"/>
          <w:szCs w:val="32"/>
        </w:rPr>
      </w:pPr>
    </w:p>
    <w:p>
      <w:pPr>
        <w:pStyle w:val="4"/>
        <w:spacing w:line="580" w:lineRule="exact"/>
        <w:ind w:firstLine="0"/>
        <w:jc w:val="center"/>
        <w:rPr>
          <w:rFonts w:hint="eastAsia" w:ascii="黑体" w:hAnsi="黑体" w:cs="黑体"/>
          <w:b/>
          <w:bCs/>
          <w:sz w:val="28"/>
          <w:szCs w:val="28"/>
        </w:rPr>
      </w:pPr>
      <w:r>
        <w:rPr>
          <w:rFonts w:hint="eastAsia" w:ascii="黑体" w:hAnsi="黑体" w:cs="黑体"/>
          <w:sz w:val="28"/>
          <w:szCs w:val="28"/>
        </w:rPr>
        <w:t>表</w:t>
      </w:r>
      <w:r>
        <w:rPr>
          <w:rFonts w:hint="eastAsia" w:ascii="黑体" w:hAnsi="黑体" w:cs="黑体"/>
          <w:sz w:val="28"/>
          <w:szCs w:val="28"/>
          <w:lang w:val="en-US" w:eastAsia="zh-CN"/>
        </w:rPr>
        <w:t>5</w:t>
      </w:r>
      <w:r>
        <w:rPr>
          <w:rFonts w:hint="eastAsia" w:ascii="黑体" w:hAnsi="黑体" w:cs="黑体"/>
          <w:sz w:val="28"/>
          <w:szCs w:val="28"/>
        </w:rPr>
        <w:t xml:space="preserve"> </w:t>
      </w:r>
      <w:r>
        <w:rPr>
          <w:rFonts w:hint="eastAsia" w:ascii="黑体" w:hAnsi="黑体" w:cs="黑体"/>
          <w:sz w:val="28"/>
          <w:szCs w:val="28"/>
          <w:lang w:val="en-US" w:eastAsia="zh-CN"/>
        </w:rPr>
        <w:t>推荐历史建筑</w:t>
      </w:r>
      <w:r>
        <w:rPr>
          <w:rFonts w:hint="eastAsia" w:ascii="黑体" w:hAnsi="黑体" w:cs="黑体"/>
          <w:sz w:val="28"/>
          <w:szCs w:val="28"/>
        </w:rPr>
        <w:t>保护名录</w:t>
      </w:r>
    </w:p>
    <w:tbl>
      <w:tblPr>
        <w:tblStyle w:val="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0"/>
        <w:gridCol w:w="2139"/>
        <w:gridCol w:w="2311"/>
        <w:gridCol w:w="1949"/>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jc w:val="center"/>
        </w:trPr>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
                <w:bCs/>
                <w:color w:val="252525"/>
                <w:kern w:val="0"/>
                <w:sz w:val="24"/>
                <w:szCs w:val="24"/>
                <w:lang w:val="en-US" w:bidi="ar"/>
              </w:rPr>
            </w:pPr>
            <w:bookmarkStart w:id="1" w:name="_Hlk131881034"/>
            <w:r>
              <w:rPr>
                <w:rFonts w:hint="eastAsia" w:ascii="宋体" w:hAnsi="宋体" w:eastAsia="宋体" w:cs="宋体"/>
                <w:b/>
                <w:bCs/>
                <w:color w:val="252525"/>
                <w:kern w:val="0"/>
                <w:sz w:val="24"/>
                <w:szCs w:val="24"/>
                <w:lang w:bidi="ar"/>
              </w:rPr>
              <w:t>序号</w:t>
            </w:r>
          </w:p>
        </w:tc>
        <w:tc>
          <w:tcPr>
            <w:tcW w:w="11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bidi="ar"/>
              </w:rPr>
              <w:t>名称</w:t>
            </w:r>
          </w:p>
        </w:tc>
        <w:tc>
          <w:tcPr>
            <w:tcW w:w="12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
                <w:bCs/>
                <w:color w:val="252525"/>
                <w:kern w:val="0"/>
                <w:sz w:val="24"/>
                <w:szCs w:val="24"/>
                <w:lang w:val="en-US" w:eastAsia="zh-CN" w:bidi="ar"/>
              </w:rPr>
            </w:pPr>
            <w:r>
              <w:rPr>
                <w:rFonts w:hint="eastAsia" w:ascii="宋体" w:hAnsi="宋体" w:eastAsia="宋体" w:cs="宋体"/>
                <w:b/>
                <w:bCs/>
                <w:color w:val="252525"/>
                <w:kern w:val="0"/>
                <w:sz w:val="24"/>
                <w:szCs w:val="24"/>
                <w:lang w:val="en-US" w:eastAsia="zh-CN" w:bidi="ar"/>
              </w:rPr>
              <w:t>级别</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
                <w:bCs/>
                <w:color w:val="252525"/>
                <w:kern w:val="0"/>
                <w:sz w:val="24"/>
                <w:szCs w:val="24"/>
                <w:lang w:val="en-US" w:eastAsia="zh-CN" w:bidi="ar"/>
              </w:rPr>
            </w:pPr>
            <w:r>
              <w:rPr>
                <w:rFonts w:hint="eastAsia" w:ascii="宋体" w:hAnsi="宋体" w:eastAsia="宋体" w:cs="宋体"/>
                <w:b/>
                <w:bCs/>
                <w:color w:val="252525"/>
                <w:kern w:val="0"/>
                <w:sz w:val="24"/>
                <w:szCs w:val="24"/>
                <w:lang w:val="en-US" w:eastAsia="zh-CN" w:bidi="ar"/>
              </w:rPr>
              <w:t>类别</w:t>
            </w:r>
          </w:p>
        </w:tc>
        <w:tc>
          <w:tcPr>
            <w:tcW w:w="11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bidi="ar"/>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1</w:t>
            </w:r>
          </w:p>
        </w:tc>
        <w:tc>
          <w:tcPr>
            <w:tcW w:w="1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宋体" w:hAnsi="宋体" w:eastAsia="宋体" w:cs="宋体"/>
                <w:bCs w:val="0"/>
                <w:color w:val="252525"/>
                <w:kern w:val="0"/>
                <w:sz w:val="24"/>
                <w:szCs w:val="24"/>
                <w:lang w:val="en-US" w:bidi="ar"/>
              </w:rPr>
            </w:pPr>
            <w:r>
              <w:rPr>
                <w:rFonts w:hint="eastAsia" w:ascii="宋体" w:hAnsi="宋体" w:eastAsia="宋体" w:cs="宋体"/>
                <w:color w:val="252525"/>
                <w:kern w:val="0"/>
                <w:sz w:val="24"/>
                <w:szCs w:val="24"/>
                <w:lang w:bidi="ar"/>
              </w:rPr>
              <w:t>洪氏玄祖祠</w:t>
            </w:r>
          </w:p>
        </w:tc>
        <w:tc>
          <w:tcPr>
            <w:tcW w:w="1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推荐历史建筑</w:t>
            </w:r>
          </w:p>
        </w:tc>
        <w:tc>
          <w:tcPr>
            <w:tcW w:w="10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color w:val="252525"/>
                <w:kern w:val="0"/>
                <w:sz w:val="24"/>
                <w:szCs w:val="24"/>
                <w:lang w:bidi="ar"/>
              </w:rPr>
            </w:pPr>
            <w:r>
              <w:rPr>
                <w:rFonts w:hint="eastAsia" w:ascii="宋体" w:hAnsi="宋体" w:eastAsia="宋体" w:cs="宋体"/>
                <w:bCs w:val="0"/>
                <w:color w:val="252525"/>
                <w:kern w:val="0"/>
                <w:sz w:val="24"/>
                <w:szCs w:val="24"/>
                <w:lang w:val="en-US" w:eastAsia="zh-CN" w:bidi="ar"/>
                <w14:ligatures w14:val="standardContextual"/>
              </w:rPr>
              <w:t>祠堂和乡村公共建筑</w:t>
            </w:r>
          </w:p>
        </w:tc>
        <w:tc>
          <w:tcPr>
            <w:tcW w:w="114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Cs w:val="0"/>
                <w:color w:val="252525"/>
                <w:kern w:val="0"/>
                <w:sz w:val="24"/>
                <w:szCs w:val="24"/>
                <w:lang w:val="en-US" w:bidi="ar"/>
              </w:rPr>
            </w:pPr>
            <w:r>
              <w:rPr>
                <w:rFonts w:hint="eastAsia" w:ascii="宋体" w:hAnsi="宋体" w:eastAsia="宋体" w:cs="宋体"/>
                <w:color w:val="252525"/>
                <w:kern w:val="0"/>
                <w:sz w:val="24"/>
                <w:szCs w:val="24"/>
                <w:lang w:bidi="ar"/>
              </w:rPr>
              <w:t>棉湖镇大巷下街内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2</w:t>
            </w:r>
          </w:p>
        </w:tc>
        <w:tc>
          <w:tcPr>
            <w:tcW w:w="1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bidi="ar"/>
              </w:rPr>
              <w:t>TJ-01</w:t>
            </w:r>
          </w:p>
        </w:tc>
        <w:tc>
          <w:tcPr>
            <w:tcW w:w="1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推荐历史建筑</w:t>
            </w:r>
          </w:p>
        </w:tc>
        <w:tc>
          <w:tcPr>
            <w:tcW w:w="10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color w:val="252525"/>
                <w:kern w:val="0"/>
                <w:sz w:val="24"/>
                <w:szCs w:val="24"/>
                <w:lang w:bidi="ar"/>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14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Cs w:val="0"/>
                <w:color w:val="252525"/>
                <w:kern w:val="0"/>
                <w:sz w:val="24"/>
                <w:szCs w:val="24"/>
                <w:lang w:val="en-US" w:bidi="ar"/>
              </w:rPr>
            </w:pPr>
            <w:r>
              <w:rPr>
                <w:rFonts w:hint="eastAsia" w:ascii="宋体" w:hAnsi="宋体" w:eastAsia="宋体" w:cs="宋体"/>
                <w:color w:val="252525"/>
                <w:kern w:val="0"/>
                <w:sz w:val="24"/>
                <w:szCs w:val="24"/>
                <w:lang w:bidi="ar"/>
              </w:rPr>
              <w:t>棉湖镇李仔园内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3</w:t>
            </w:r>
          </w:p>
        </w:tc>
        <w:tc>
          <w:tcPr>
            <w:tcW w:w="1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textAlignment w:val="auto"/>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bidi="ar"/>
              </w:rPr>
              <w:t>TJ-02</w:t>
            </w:r>
          </w:p>
        </w:tc>
        <w:tc>
          <w:tcPr>
            <w:tcW w:w="1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宋体" w:hAnsi="宋体" w:eastAsia="宋体" w:cs="宋体"/>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eastAsia="zh-CN" w:bidi="ar"/>
              </w:rPr>
              <w:t>推荐历史建筑</w:t>
            </w:r>
          </w:p>
        </w:tc>
        <w:tc>
          <w:tcPr>
            <w:tcW w:w="10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color w:val="252525"/>
                <w:kern w:val="0"/>
                <w:sz w:val="24"/>
                <w:szCs w:val="24"/>
                <w:lang w:bidi="ar"/>
              </w:rPr>
            </w:pPr>
            <w:r>
              <w:rPr>
                <w:rFonts w:hint="eastAsia" w:ascii="宋体" w:hAnsi="宋体" w:eastAsia="宋体" w:cs="宋体"/>
                <w:bCs w:val="0"/>
                <w:color w:val="252525"/>
                <w:kern w:val="0"/>
                <w:sz w:val="24"/>
                <w:szCs w:val="24"/>
                <w:lang w:val="en-US" w:eastAsia="zh-CN" w:bidi="ar"/>
                <w14:ligatures w14:val="standardContextual"/>
              </w:rPr>
              <w:t>典型民居和住宅</w:t>
            </w:r>
          </w:p>
        </w:tc>
        <w:tc>
          <w:tcPr>
            <w:tcW w:w="114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bidi="ar"/>
              </w:rPr>
              <w:t>棉湖镇李仔园内</w:t>
            </w:r>
          </w:p>
        </w:tc>
      </w:tr>
      <w:bookmarkEnd w:id="1"/>
    </w:tbl>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2、历史环境要素，其中</w:t>
      </w:r>
      <w:r>
        <w:rPr>
          <w:rFonts w:hint="eastAsia" w:ascii="仿宋_GB2312" w:hAnsi="仿宋_GB2312" w:eastAsia="仿宋_GB2312" w:cs="仿宋_GB2312"/>
          <w:sz w:val="32"/>
          <w:szCs w:val="32"/>
          <w:lang w:val="en-US" w:eastAsia="zh-CN"/>
        </w:rPr>
        <w:t>推荐</w:t>
      </w:r>
      <w:r>
        <w:rPr>
          <w:rFonts w:hint="eastAsia" w:ascii="仿宋_GB2312" w:hAnsi="仿宋_GB2312" w:eastAsia="仿宋_GB2312" w:cs="仿宋_GB2312"/>
          <w:sz w:val="32"/>
          <w:szCs w:val="32"/>
        </w:rPr>
        <w:t>古树</w:t>
      </w:r>
      <w:r>
        <w:rPr>
          <w:rFonts w:hint="eastAsia" w:ascii="仿宋_GB2312" w:hAnsi="仿宋_GB2312" w:eastAsia="仿宋_GB2312" w:cs="仿宋_GB2312"/>
          <w:sz w:val="32"/>
          <w:szCs w:val="32"/>
          <w:lang w:val="en-US" w:eastAsia="zh-CN"/>
        </w:rPr>
        <w:t>1株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古遗址2处，古石刻1处，河流水系1处</w:t>
      </w:r>
      <w:r>
        <w:rPr>
          <w:rFonts w:hint="eastAsia" w:ascii="仿宋_GB2312" w:hAnsi="仿宋_GB2312" w:eastAsia="仿宋_GB2312" w:cs="仿宋_GB2312"/>
          <w:sz w:val="32"/>
          <w:szCs w:val="32"/>
        </w:rPr>
        <w:t>。</w:t>
      </w:r>
    </w:p>
    <w:p>
      <w:pPr>
        <w:pStyle w:val="4"/>
        <w:ind w:firstLine="560" w:firstLineChars="0"/>
        <w:rPr>
          <w:rFonts w:hint="eastAsia"/>
        </w:rPr>
      </w:pPr>
      <w:r>
        <w:rPr>
          <w:rFonts w:hint="eastAsia" w:ascii="黑体" w:hAnsi="黑体" w:cs="黑体"/>
          <w:sz w:val="28"/>
          <w:szCs w:val="28"/>
        </w:rPr>
        <w:t>表</w:t>
      </w:r>
      <w:r>
        <w:rPr>
          <w:rFonts w:hint="eastAsia" w:ascii="黑体" w:hAnsi="黑体" w:cs="黑体"/>
          <w:sz w:val="28"/>
          <w:szCs w:val="28"/>
          <w:lang w:val="en-US" w:eastAsia="zh-CN"/>
        </w:rPr>
        <w:t>6 历史环境要素</w:t>
      </w:r>
      <w:r>
        <w:rPr>
          <w:rFonts w:hint="eastAsia" w:ascii="黑体" w:hAnsi="黑体" w:cs="黑体"/>
          <w:sz w:val="28"/>
          <w:szCs w:val="28"/>
        </w:rPr>
        <w:t>保护名录</w:t>
      </w:r>
    </w:p>
    <w:tbl>
      <w:tblPr>
        <w:tblStyle w:val="8"/>
        <w:tblW w:w="51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92"/>
        <w:gridCol w:w="1277"/>
        <w:gridCol w:w="1179"/>
        <w:gridCol w:w="6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序号</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分类</w:t>
            </w:r>
          </w:p>
        </w:tc>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数量</w:t>
            </w:r>
          </w:p>
        </w:tc>
        <w:tc>
          <w:tcPr>
            <w:tcW w:w="31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trPr>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1</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推荐古树</w:t>
            </w:r>
          </w:p>
        </w:tc>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bidi="ar"/>
              </w:rPr>
              <w:t>1</w:t>
            </w:r>
            <w:r>
              <w:rPr>
                <w:rFonts w:hint="eastAsia" w:ascii="宋体" w:hAnsi="宋体" w:eastAsia="宋体" w:cs="宋体"/>
                <w:color w:val="252525"/>
                <w:kern w:val="0"/>
                <w:sz w:val="24"/>
                <w:szCs w:val="24"/>
                <w:lang w:bidi="ar"/>
              </w:rPr>
              <w:t>棵</w:t>
            </w:r>
          </w:p>
        </w:tc>
        <w:tc>
          <w:tcPr>
            <w:tcW w:w="31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永昌古庙暨云湖庵保护范围内</w:t>
            </w:r>
            <w:r>
              <w:rPr>
                <w:rFonts w:hint="eastAsia" w:ascii="宋体" w:hAnsi="宋体" w:eastAsia="宋体" w:cs="宋体"/>
                <w:color w:val="252525"/>
                <w:kern w:val="0"/>
                <w:sz w:val="24"/>
                <w:szCs w:val="24"/>
                <w:lang w:val="en-US" w:bidi="ar"/>
              </w:rPr>
              <w:t>1</w:t>
            </w:r>
            <w:r>
              <w:rPr>
                <w:rFonts w:hint="eastAsia" w:ascii="宋体" w:hAnsi="宋体" w:eastAsia="宋体" w:cs="宋体"/>
                <w:color w:val="252525"/>
                <w:kern w:val="0"/>
                <w:sz w:val="24"/>
                <w:szCs w:val="24"/>
                <w:lang w:bidi="ar"/>
              </w:rPr>
              <w:t>棵大树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67" w:hRule="atLeast"/>
        </w:trPr>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2</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古遗址</w:t>
            </w:r>
          </w:p>
        </w:tc>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bidi="ar"/>
              </w:rPr>
              <w:t>2</w:t>
            </w:r>
            <w:r>
              <w:rPr>
                <w:rFonts w:hint="eastAsia" w:ascii="宋体" w:hAnsi="宋体" w:eastAsia="宋体" w:cs="宋体"/>
                <w:color w:val="252525"/>
                <w:kern w:val="0"/>
                <w:sz w:val="24"/>
                <w:szCs w:val="24"/>
                <w:lang w:bidi="ar"/>
              </w:rPr>
              <w:t>处</w:t>
            </w:r>
          </w:p>
        </w:tc>
        <w:tc>
          <w:tcPr>
            <w:tcW w:w="31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永昌庙段寨墙、永昌门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trPr>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3</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古石刻</w:t>
            </w:r>
          </w:p>
        </w:tc>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bidi="ar"/>
              </w:rPr>
              <w:t>1</w:t>
            </w:r>
            <w:r>
              <w:rPr>
                <w:rFonts w:hint="eastAsia" w:ascii="宋体" w:hAnsi="宋体" w:eastAsia="宋体" w:cs="宋体"/>
                <w:color w:val="252525"/>
                <w:kern w:val="0"/>
                <w:sz w:val="24"/>
                <w:szCs w:val="24"/>
                <w:lang w:bidi="ar"/>
              </w:rPr>
              <w:t>处</w:t>
            </w:r>
          </w:p>
        </w:tc>
        <w:tc>
          <w:tcPr>
            <w:tcW w:w="31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修路功德碑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trPr>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4</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河流水系</w:t>
            </w:r>
          </w:p>
        </w:tc>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val="en-US" w:bidi="ar"/>
              </w:rPr>
              <w:t>1</w:t>
            </w:r>
            <w:r>
              <w:rPr>
                <w:rFonts w:hint="eastAsia" w:ascii="宋体" w:hAnsi="宋体" w:eastAsia="宋体" w:cs="宋体"/>
                <w:color w:val="252525"/>
                <w:kern w:val="0"/>
                <w:sz w:val="24"/>
                <w:szCs w:val="24"/>
                <w:lang w:bidi="ar"/>
              </w:rPr>
              <w:t>处</w:t>
            </w:r>
          </w:p>
        </w:tc>
        <w:tc>
          <w:tcPr>
            <w:tcW w:w="31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bCs w:val="0"/>
                <w:color w:val="252525"/>
                <w:kern w:val="0"/>
                <w:sz w:val="24"/>
                <w:szCs w:val="24"/>
                <w:lang w:val="en-US" w:eastAsia="zh-CN" w:bidi="ar"/>
                <w14:ligatures w14:val="standardContextual"/>
              </w:rPr>
            </w:pPr>
            <w:r>
              <w:rPr>
                <w:rFonts w:hint="eastAsia" w:ascii="宋体" w:hAnsi="宋体" w:eastAsia="宋体" w:cs="宋体"/>
                <w:color w:val="252525"/>
                <w:kern w:val="0"/>
                <w:sz w:val="24"/>
                <w:szCs w:val="24"/>
                <w:lang w:bidi="ar"/>
              </w:rPr>
              <w:t>云湖水系</w:t>
            </w:r>
          </w:p>
        </w:tc>
      </w:tr>
    </w:tbl>
    <w:p>
      <w:pPr>
        <w:pStyle w:val="3"/>
        <w:numPr>
          <w:ilvl w:val="-1"/>
          <w:numId w:val="0"/>
        </w:numPr>
        <w:spacing w:line="580" w:lineRule="exact"/>
        <w:ind w:left="420" w:leftChars="200" w:firstLine="0" w:firstLineChars="0"/>
        <w:rPr>
          <w:rFonts w:hint="eastAsia" w:ascii="楷体" w:hAnsi="楷体" w:eastAsia="楷体" w:cs="楷体"/>
          <w:sz w:val="32"/>
        </w:rPr>
      </w:pPr>
    </w:p>
    <w:p>
      <w:pPr>
        <w:pStyle w:val="3"/>
        <w:numPr>
          <w:ilvl w:val="-1"/>
          <w:numId w:val="0"/>
        </w:numPr>
        <w:spacing w:line="580" w:lineRule="exact"/>
        <w:ind w:left="420" w:leftChars="200" w:firstLine="0" w:firstLineChars="0"/>
        <w:rPr>
          <w:rFonts w:hint="eastAsia" w:ascii="楷体" w:hAnsi="楷体" w:eastAsia="楷体" w:cs="楷体"/>
          <w:sz w:val="32"/>
        </w:rPr>
      </w:pPr>
      <w:r>
        <w:rPr>
          <w:rFonts w:hint="eastAsia" w:ascii="楷体" w:hAnsi="楷体" w:eastAsia="楷体" w:cs="楷体"/>
          <w:sz w:val="32"/>
          <w:lang w:eastAsia="zh-CN"/>
        </w:rPr>
        <w:t>（</w:t>
      </w:r>
      <w:r>
        <w:rPr>
          <w:rFonts w:hint="eastAsia" w:ascii="楷体" w:hAnsi="楷体" w:eastAsia="楷体" w:cs="楷体"/>
          <w:sz w:val="32"/>
          <w:lang w:val="en-US" w:eastAsia="zh-CN"/>
        </w:rPr>
        <w:t>二</w:t>
      </w:r>
      <w:r>
        <w:rPr>
          <w:rFonts w:hint="eastAsia" w:ascii="楷体" w:hAnsi="楷体" w:eastAsia="楷体" w:cs="楷体"/>
          <w:sz w:val="32"/>
          <w:lang w:eastAsia="zh-CN"/>
        </w:rPr>
        <w:t>）</w:t>
      </w:r>
      <w:r>
        <w:rPr>
          <w:rFonts w:hint="eastAsia" w:ascii="楷体" w:hAnsi="楷体" w:eastAsia="楷体" w:cs="楷体"/>
          <w:sz w:val="32"/>
        </w:rPr>
        <w:t>非物质文化遗产</w:t>
      </w:r>
    </w:p>
    <w:p>
      <w:pPr>
        <w:pStyle w:val="4"/>
        <w:ind w:firstLine="640"/>
        <w:jc w:val="left"/>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保护</w:t>
      </w:r>
      <w:r>
        <w:rPr>
          <w:rFonts w:hint="eastAsia" w:ascii="仿宋_GB2312" w:hAnsi="仿宋_GB2312" w:eastAsia="仿宋_GB2312" w:cs="仿宋_GB2312"/>
          <w:sz w:val="32"/>
          <w:szCs w:val="32"/>
        </w:rPr>
        <w:t>锣鼓标旗巡游、灯谜（揭西方言灯谜）、狮舞（刘厝寨金狮）</w:t>
      </w:r>
      <w:r>
        <w:rPr>
          <w:rFonts w:hint="eastAsia" w:ascii="仿宋_GB2312" w:hAnsi="仿宋_GB2312" w:eastAsia="仿宋_GB2312" w:cs="仿宋_GB2312"/>
          <w:sz w:val="32"/>
          <w:szCs w:val="32"/>
          <w:lang w:val="en-US" w:eastAsia="zh-CN"/>
        </w:rPr>
        <w:t>等非物质文化遗产，同时保护其他未列级的优秀传统文化。</w:t>
      </w:r>
    </w:p>
    <w:p>
      <w:pPr>
        <w:pStyle w:val="4"/>
        <w:ind w:firstLine="560"/>
        <w:rPr>
          <w:rFonts w:hint="eastAsia" w:ascii="黑体" w:hAnsi="黑体" w:eastAsia="黑体" w:cs="黑体"/>
          <w:sz w:val="28"/>
          <w:szCs w:val="28"/>
          <w:lang w:eastAsia="zh-CN"/>
        </w:rPr>
      </w:pPr>
      <w:r>
        <w:rPr>
          <w:rFonts w:hint="eastAsia" w:ascii="黑体" w:hAnsi="黑体" w:cs="黑体"/>
          <w:sz w:val="28"/>
          <w:szCs w:val="28"/>
        </w:rPr>
        <w:t>表</w:t>
      </w:r>
      <w:r>
        <w:rPr>
          <w:rFonts w:hint="eastAsia" w:ascii="黑体" w:hAnsi="黑体" w:cs="黑体"/>
          <w:sz w:val="28"/>
          <w:szCs w:val="28"/>
          <w:lang w:val="en-US" w:eastAsia="zh-CN"/>
        </w:rPr>
        <w:t>7</w:t>
      </w:r>
      <w:r>
        <w:rPr>
          <w:rFonts w:hint="eastAsia" w:ascii="黑体" w:hAnsi="黑体" w:cs="黑体"/>
          <w:sz w:val="28"/>
          <w:szCs w:val="28"/>
        </w:rPr>
        <w:t xml:space="preserve"> 非物质文化遗产保护</w:t>
      </w:r>
      <w:r>
        <w:rPr>
          <w:rFonts w:hint="eastAsia" w:ascii="黑体" w:hAnsi="黑体" w:cs="黑体"/>
          <w:sz w:val="28"/>
          <w:szCs w:val="28"/>
          <w:lang w:val="en-US" w:eastAsia="zh-CN"/>
        </w:rPr>
        <w:t>名录</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01"/>
        <w:gridCol w:w="726"/>
        <w:gridCol w:w="1536"/>
        <w:gridCol w:w="2911"/>
        <w:gridCol w:w="1246"/>
        <w:gridCol w:w="2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blHeader/>
          <w:jc w:val="center"/>
        </w:trPr>
        <w:tc>
          <w:tcPr>
            <w:tcW w:w="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级别</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序号</w:t>
            </w: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项目类别</w:t>
            </w:r>
          </w:p>
        </w:tc>
        <w:tc>
          <w:tcPr>
            <w:tcW w:w="15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项目名称</w:t>
            </w: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公布年份</w:t>
            </w:r>
          </w:p>
        </w:tc>
        <w:tc>
          <w:tcPr>
            <w:tcW w:w="111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1" w:type="pct"/>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省级</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1</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民俗</w:t>
            </w:r>
          </w:p>
        </w:tc>
        <w:tc>
          <w:tcPr>
            <w:tcW w:w="1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锣鼓标旗巡游</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bidi="ar"/>
              </w:rPr>
              <w:t>2007</w:t>
            </w:r>
            <w:r>
              <w:rPr>
                <w:rFonts w:hint="eastAsia" w:ascii="宋体" w:hAnsi="宋体" w:eastAsia="宋体" w:cs="宋体"/>
                <w:bCs w:val="0"/>
                <w:color w:val="252525"/>
                <w:kern w:val="0"/>
                <w:sz w:val="24"/>
                <w:szCs w:val="24"/>
                <w:lang w:bidi="ar"/>
              </w:rPr>
              <w:t>年</w:t>
            </w:r>
          </w:p>
        </w:tc>
        <w:tc>
          <w:tcPr>
            <w:tcW w:w="111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广东省第三批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1"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252525"/>
                <w:kern w:val="0"/>
                <w:sz w:val="24"/>
                <w:szCs w:val="24"/>
                <w:lang w:bidi="ar"/>
              </w:rPr>
            </w:pP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2</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民俗</w:t>
            </w:r>
          </w:p>
        </w:tc>
        <w:tc>
          <w:tcPr>
            <w:tcW w:w="1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灯谜（揭西方言灯谜）</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bidi="ar"/>
              </w:rPr>
              <w:t>2020</w:t>
            </w:r>
            <w:r>
              <w:rPr>
                <w:rFonts w:hint="eastAsia" w:ascii="宋体" w:hAnsi="宋体" w:eastAsia="宋体" w:cs="宋体"/>
                <w:bCs w:val="0"/>
                <w:color w:val="252525"/>
                <w:kern w:val="0"/>
                <w:sz w:val="24"/>
                <w:szCs w:val="24"/>
                <w:lang w:bidi="ar"/>
              </w:rPr>
              <w:t>年</w:t>
            </w:r>
          </w:p>
        </w:tc>
        <w:tc>
          <w:tcPr>
            <w:tcW w:w="111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广东省第五批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252525"/>
                <w:kern w:val="0"/>
                <w:sz w:val="24"/>
                <w:szCs w:val="24"/>
                <w:lang w:val="en-US" w:eastAsia="zh-CN" w:bidi="ar"/>
              </w:rPr>
            </w:pPr>
            <w:r>
              <w:rPr>
                <w:rFonts w:hint="eastAsia" w:ascii="宋体" w:hAnsi="宋体" w:eastAsia="宋体" w:cs="宋体"/>
                <w:color w:val="252525"/>
                <w:kern w:val="0"/>
                <w:sz w:val="24"/>
                <w:szCs w:val="24"/>
                <w:lang w:val="en-US" w:eastAsia="zh-CN" w:bidi="ar"/>
              </w:rPr>
              <w:t>市级</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3</w:t>
            </w: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民俗</w:t>
            </w:r>
          </w:p>
        </w:tc>
        <w:tc>
          <w:tcPr>
            <w:tcW w:w="1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棉湖春社</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bidi="ar"/>
              </w:rPr>
              <w:t>2022</w:t>
            </w:r>
            <w:r>
              <w:rPr>
                <w:rFonts w:hint="eastAsia" w:ascii="宋体" w:hAnsi="宋体" w:eastAsia="宋体" w:cs="宋体"/>
                <w:bCs w:val="0"/>
                <w:color w:val="252525"/>
                <w:kern w:val="0"/>
                <w:sz w:val="24"/>
                <w:szCs w:val="24"/>
                <w:lang w:bidi="ar"/>
              </w:rPr>
              <w:t>年</w:t>
            </w:r>
          </w:p>
        </w:tc>
        <w:tc>
          <w:tcPr>
            <w:tcW w:w="111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揭阳市第七批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县级</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eastAsia="zh-CN" w:bidi="ar"/>
              </w:rPr>
            </w:pPr>
            <w:r>
              <w:rPr>
                <w:rFonts w:hint="eastAsia" w:ascii="宋体" w:hAnsi="宋体" w:eastAsia="宋体" w:cs="宋体"/>
                <w:bCs w:val="0"/>
                <w:color w:val="252525"/>
                <w:kern w:val="0"/>
                <w:sz w:val="24"/>
                <w:szCs w:val="24"/>
                <w:lang w:val="en-US" w:eastAsia="zh-CN" w:bidi="ar"/>
              </w:rPr>
              <w:t>4</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传统技艺</w:t>
            </w:r>
          </w:p>
        </w:tc>
        <w:tc>
          <w:tcPr>
            <w:tcW w:w="1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bidi="ar"/>
              </w:rPr>
              <w:t>棉湖小吃制作技艺</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bidi="ar"/>
              </w:rPr>
              <w:t>2011</w:t>
            </w:r>
            <w:r>
              <w:rPr>
                <w:rFonts w:hint="eastAsia" w:ascii="宋体" w:hAnsi="宋体" w:eastAsia="宋体" w:cs="宋体"/>
                <w:bCs w:val="0"/>
                <w:color w:val="252525"/>
                <w:kern w:val="0"/>
                <w:sz w:val="24"/>
                <w:szCs w:val="24"/>
                <w:lang w:bidi="ar"/>
              </w:rPr>
              <w:t>年</w:t>
            </w:r>
          </w:p>
        </w:tc>
        <w:tc>
          <w:tcPr>
            <w:tcW w:w="111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宋体" w:hAnsi="宋体" w:eastAsia="宋体" w:cs="宋体"/>
                <w:bCs w:val="0"/>
                <w:color w:val="252525"/>
                <w:kern w:val="0"/>
                <w:sz w:val="24"/>
                <w:szCs w:val="24"/>
                <w:lang w:val="en-US" w:bidi="ar"/>
              </w:rPr>
            </w:pPr>
            <w:r>
              <w:rPr>
                <w:rFonts w:hint="eastAsia" w:ascii="宋体" w:hAnsi="宋体" w:eastAsia="宋体" w:cs="宋体"/>
                <w:bCs w:val="0"/>
                <w:color w:val="252525"/>
                <w:kern w:val="0"/>
                <w:sz w:val="24"/>
                <w:szCs w:val="24"/>
                <w:lang w:val="en-US" w:eastAsia="zh-CN" w:bidi="ar"/>
                <w14:ligatures w14:val="standardContextual"/>
              </w:rPr>
              <w:t>揭西县第三批</w:t>
            </w:r>
          </w:p>
        </w:tc>
      </w:tr>
    </w:tbl>
    <w:p>
      <w:pPr>
        <w:pStyle w:val="4"/>
        <w:ind w:firstLine="560"/>
        <w:rPr>
          <w:rFonts w:hint="eastAsia" w:ascii="黑体" w:hAnsi="黑体" w:cs="黑体"/>
          <w:sz w:val="28"/>
          <w:szCs w:val="28"/>
        </w:rPr>
      </w:pPr>
    </w:p>
    <w:p>
      <w:pPr>
        <w:pStyle w:val="4"/>
        <w:spacing w:line="360" w:lineRule="auto"/>
        <w:ind w:firstLine="560"/>
        <w:jc w:val="left"/>
        <w:rPr>
          <w:rFonts w:hint="eastAsia" w:ascii="宋体" w:hAnsi="宋体" w:eastAsia="宋体"/>
          <w:b/>
          <w:bCs/>
          <w:sz w:val="28"/>
          <w:szCs w:val="32"/>
        </w:rPr>
      </w:pPr>
      <w:r>
        <w:rPr>
          <w:rFonts w:hint="eastAsia" w:ascii="黑体" w:hAnsi="黑体" w:cs="黑体"/>
          <w:sz w:val="28"/>
          <w:szCs w:val="28"/>
        </w:rPr>
        <w:t>表</w:t>
      </w:r>
      <w:r>
        <w:rPr>
          <w:rFonts w:hint="eastAsia" w:ascii="黑体" w:hAnsi="黑体" w:cs="黑体"/>
          <w:sz w:val="28"/>
          <w:szCs w:val="28"/>
          <w:lang w:val="en-US" w:eastAsia="zh-CN"/>
        </w:rPr>
        <w:t>8</w:t>
      </w:r>
      <w:r>
        <w:rPr>
          <w:rFonts w:hint="eastAsia" w:ascii="黑体" w:hAnsi="黑体" w:cs="黑体"/>
          <w:sz w:val="28"/>
          <w:szCs w:val="28"/>
        </w:rPr>
        <w:t xml:space="preserve"> 优秀传统文化</w:t>
      </w:r>
      <w:r>
        <w:rPr>
          <w:rFonts w:hint="eastAsia" w:ascii="黑体" w:hAnsi="黑体" w:cs="黑体"/>
          <w:sz w:val="28"/>
          <w:szCs w:val="28"/>
          <w:lang w:val="en-US" w:eastAsia="zh-CN"/>
        </w:rPr>
        <w:t>保护名录</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810"/>
        <w:gridCol w:w="2223"/>
        <w:gridCol w:w="5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tblHeader/>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编号</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类别级别</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b/>
                <w:bCs/>
                <w:color w:val="252525"/>
                <w:kern w:val="0"/>
                <w:sz w:val="24"/>
                <w:szCs w:val="24"/>
                <w:lang w:val="en-US" w:bidi="ar"/>
              </w:rPr>
            </w:pPr>
            <w:r>
              <w:rPr>
                <w:rFonts w:hint="eastAsia" w:ascii="宋体" w:hAnsi="宋体" w:eastAsia="宋体" w:cs="宋体"/>
                <w:b/>
                <w:bCs/>
                <w:color w:val="252525"/>
                <w:kern w:val="0"/>
                <w:sz w:val="24"/>
                <w:szCs w:val="24"/>
                <w:lang w:val="en-US" w:eastAsia="zh-CN" w:bidi="ar"/>
                <w14:ligatures w14:val="standardContextual"/>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5" w:hRule="atLeast"/>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1</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民俗</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湖东摆雅粿、湖东舞龙、拜姑娘坟、棉湖汉剧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2</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传统技艺</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棉湖木雕、打铁、竹编、剪纸、捏糖人、织席、刨花、造船等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3" w:hRule="atLeast"/>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3</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语言</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棉湖僻语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3" w:hRule="atLeast"/>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4</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老字号</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“洪心合”糖铺、“蔡合茂”糖铺等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0" w:hRule="atLeast"/>
        </w:trPr>
        <w:tc>
          <w:tcPr>
            <w:tcW w:w="97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5</w:t>
            </w:r>
          </w:p>
        </w:tc>
        <w:tc>
          <w:tcPr>
            <w:tcW w:w="11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岁时节日</w:t>
            </w:r>
          </w:p>
        </w:tc>
        <w:tc>
          <w:tcPr>
            <w:tcW w:w="2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color w:val="252525"/>
                <w:kern w:val="0"/>
                <w:sz w:val="24"/>
                <w:szCs w:val="24"/>
                <w:lang w:val="en-US" w:bidi="ar"/>
              </w:rPr>
            </w:pPr>
            <w:r>
              <w:rPr>
                <w:rFonts w:hint="eastAsia" w:ascii="宋体" w:hAnsi="宋体" w:eastAsia="宋体" w:cs="宋体"/>
                <w:color w:val="252525"/>
                <w:kern w:val="0"/>
                <w:sz w:val="24"/>
                <w:szCs w:val="24"/>
                <w:lang w:val="en-US" w:eastAsia="zh-CN" w:bidi="ar"/>
                <w14:ligatures w14:val="standardContextual"/>
              </w:rPr>
              <w:t>岁时节日、神明诞辰等</w:t>
            </w:r>
          </w:p>
        </w:tc>
      </w:tr>
    </w:tbl>
    <w:p>
      <w:pPr>
        <w:spacing w:line="360" w:lineRule="auto"/>
        <w:jc w:val="left"/>
        <w:rPr>
          <w:rFonts w:hint="eastAsia" w:ascii="宋体" w:hAnsi="宋体" w:eastAsia="宋体"/>
          <w:b/>
          <w:bCs/>
          <w:sz w:val="28"/>
          <w:szCs w:val="32"/>
        </w:rPr>
      </w:pPr>
    </w:p>
    <w:p>
      <w:pPr>
        <w:spacing w:line="360" w:lineRule="auto"/>
        <w:jc w:val="left"/>
        <w:rPr>
          <w:rFonts w:hint="eastAsia" w:ascii="宋体" w:hAnsi="宋体" w:eastAsia="宋体"/>
          <w:b/>
          <w:bCs/>
          <w:sz w:val="28"/>
          <w:szCs w:val="32"/>
        </w:rPr>
      </w:pPr>
    </w:p>
    <w:p>
      <w:pPr>
        <w:pStyle w:val="2"/>
        <w:numPr>
          <w:ilvl w:val="-1"/>
          <w:numId w:val="0"/>
        </w:numPr>
        <w:spacing w:before="0" w:beforeLines="0" w:after="0" w:afterLines="0" w:line="580" w:lineRule="exact"/>
        <w:rPr>
          <w:rFonts w:ascii="黑体" w:hAnsi="黑体" w:eastAsia="黑体" w:cs="黑体"/>
          <w:b w:val="0"/>
          <w:bCs/>
          <w:sz w:val="32"/>
          <w:szCs w:val="32"/>
        </w:rPr>
      </w:pPr>
      <w:r>
        <w:rPr>
          <w:rFonts w:hint="eastAsia" w:ascii="黑体" w:hAnsi="黑体" w:eastAsia="黑体" w:cs="黑体"/>
          <w:b w:val="0"/>
          <w:bCs/>
          <w:sz w:val="32"/>
          <w:szCs w:val="32"/>
          <w:lang w:val="en-US" w:eastAsia="zh-CN"/>
        </w:rPr>
        <w:t>三、街区</w:t>
      </w:r>
      <w:r>
        <w:rPr>
          <w:rFonts w:hint="eastAsia" w:ascii="黑体" w:hAnsi="黑体" w:eastAsia="黑体" w:cs="黑体"/>
          <w:b w:val="0"/>
          <w:bCs/>
          <w:sz w:val="32"/>
          <w:szCs w:val="32"/>
        </w:rPr>
        <w:t>的总体保护</w:t>
      </w:r>
    </w:p>
    <w:p>
      <w:pPr>
        <w:pStyle w:val="3"/>
        <w:numPr>
          <w:ilvl w:val="-1"/>
          <w:numId w:val="0"/>
        </w:numPr>
        <w:spacing w:line="580" w:lineRule="exact"/>
        <w:ind w:left="420" w:leftChars="200" w:firstLine="0" w:firstLineChars="0"/>
        <w:rPr>
          <w:rFonts w:ascii="楷体" w:hAnsi="楷体" w:eastAsia="楷体" w:cs="楷体"/>
          <w:sz w:val="32"/>
        </w:rPr>
      </w:pPr>
      <w:r>
        <w:rPr>
          <w:rFonts w:hint="eastAsia" w:ascii="楷体" w:hAnsi="楷体" w:eastAsia="楷体" w:cs="楷体"/>
          <w:sz w:val="32"/>
          <w:lang w:eastAsia="zh-CN"/>
        </w:rPr>
        <w:t>（</w:t>
      </w:r>
      <w:r>
        <w:rPr>
          <w:rFonts w:hint="eastAsia" w:ascii="楷体" w:hAnsi="楷体" w:eastAsia="楷体" w:cs="楷体"/>
          <w:sz w:val="32"/>
          <w:lang w:val="en-US" w:eastAsia="zh-CN"/>
        </w:rPr>
        <w:t>一</w:t>
      </w:r>
      <w:r>
        <w:rPr>
          <w:rFonts w:hint="eastAsia" w:ascii="楷体" w:hAnsi="楷体" w:eastAsia="楷体" w:cs="楷体"/>
          <w:sz w:val="32"/>
          <w:lang w:eastAsia="zh-CN"/>
        </w:rPr>
        <w:t>）</w:t>
      </w:r>
      <w:r>
        <w:rPr>
          <w:rFonts w:hint="eastAsia" w:ascii="楷体" w:hAnsi="楷体" w:eastAsia="楷体" w:cs="楷体"/>
          <w:sz w:val="32"/>
        </w:rPr>
        <w:t>规划定位：百年治所商贾地，璀璨人文秀丽街</w:t>
      </w:r>
    </w:p>
    <w:p>
      <w:pPr>
        <w:pStyle w:val="3"/>
        <w:numPr>
          <w:ilvl w:val="-1"/>
          <w:numId w:val="0"/>
        </w:numPr>
        <w:spacing w:line="580" w:lineRule="exact"/>
        <w:ind w:left="420" w:leftChars="200" w:firstLine="0" w:firstLineChars="0"/>
        <w:rPr>
          <w:rFonts w:hint="eastAsia" w:ascii="楷体" w:hAnsi="楷体" w:eastAsia="楷体" w:cs="楷体"/>
          <w:sz w:val="32"/>
        </w:rPr>
      </w:pPr>
      <w:r>
        <w:rPr>
          <w:rFonts w:hint="eastAsia" w:ascii="楷体" w:hAnsi="楷体" w:eastAsia="楷体" w:cs="楷体"/>
          <w:sz w:val="32"/>
          <w:lang w:val="en-US" w:eastAsia="zh-CN"/>
        </w:rPr>
        <w:t>（二）历史文化街区</w:t>
      </w:r>
      <w:r>
        <w:rPr>
          <w:rFonts w:hint="eastAsia" w:ascii="楷体" w:hAnsi="楷体" w:eastAsia="楷体" w:cs="楷体"/>
          <w:sz w:val="32"/>
        </w:rPr>
        <w:t>保护格局：一核、两心、两轴、一带</w:t>
      </w:r>
    </w:p>
    <w:p>
      <w:pPr>
        <w:pStyle w:val="3"/>
        <w:numPr>
          <w:ilvl w:val="1"/>
          <w:numId w:val="0"/>
        </w:numPr>
        <w:spacing w:line="580" w:lineRule="exact"/>
        <w:ind w:leftChars="200" w:firstLine="0"/>
        <w:jc w:val="left"/>
        <w:rPr>
          <w:rFonts w:hint="eastAsia" w:ascii="仿宋_GB2312" w:hAnsi="仿宋_GB2312" w:eastAsia="仿宋_GB2312" w:cs="仿宋_GB2312"/>
          <w:sz w:val="32"/>
          <w:szCs w:val="32"/>
        </w:rPr>
      </w:pPr>
      <w:r>
        <w:rPr>
          <w:rFonts w:hint="eastAsia" w:ascii="楷体" w:hAnsi="楷体" w:eastAsia="楷体" w:cs="楷体"/>
          <w:sz w:val="32"/>
          <w:lang w:eastAsia="zh-CN"/>
        </w:rPr>
        <w:t>（</w:t>
      </w:r>
      <w:r>
        <w:rPr>
          <w:rFonts w:hint="eastAsia" w:ascii="楷体" w:hAnsi="楷体" w:eastAsia="楷体" w:cs="楷体"/>
          <w:sz w:val="32"/>
          <w:lang w:val="en-US" w:eastAsia="zh-CN"/>
        </w:rPr>
        <w:t>三</w:t>
      </w:r>
      <w:r>
        <w:rPr>
          <w:rFonts w:hint="eastAsia" w:ascii="楷体" w:hAnsi="楷体" w:eastAsia="楷体" w:cs="楷体"/>
          <w:sz w:val="32"/>
          <w:lang w:eastAsia="zh-CN"/>
        </w:rPr>
        <w:t>）</w:t>
      </w:r>
      <w:r>
        <w:rPr>
          <w:rFonts w:hint="eastAsia" w:ascii="楷体" w:hAnsi="楷体" w:eastAsia="楷体" w:cs="楷体"/>
          <w:sz w:val="32"/>
          <w:lang w:val="en-US" w:eastAsia="zh-CN"/>
        </w:rPr>
        <w:t>街区</w:t>
      </w:r>
      <w:r>
        <w:rPr>
          <w:rFonts w:hint="eastAsia" w:ascii="楷体" w:hAnsi="楷体" w:eastAsia="楷体" w:cs="楷体"/>
          <w:sz w:val="32"/>
        </w:rPr>
        <w:t>范围的保护重点</w:t>
      </w:r>
    </w:p>
    <w:p>
      <w:pPr>
        <w:spacing w:line="580" w:lineRule="exact"/>
        <w:ind w:firstLine="64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1．保护独特的自然环境：重点保护</w:t>
      </w:r>
      <w:r>
        <w:rPr>
          <w:rFonts w:hint="eastAsia" w:ascii="仿宋_GB2312" w:hAnsi="仿宋_GB2312" w:eastAsia="仿宋_GB2312" w:cs="仿宋_GB2312"/>
          <w:sz w:val="32"/>
          <w:szCs w:val="32"/>
          <w:lang w:val="en-US" w:eastAsia="zh-CN"/>
        </w:rPr>
        <w:t>街区东南侧云湖水系</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自然环境要素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保护水看城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传统</w:t>
      </w:r>
      <w:r>
        <w:rPr>
          <w:rFonts w:hint="eastAsia" w:ascii="仿宋_GB2312" w:hAnsi="仿宋_GB2312" w:eastAsia="仿宋_GB2312" w:cs="仿宋_GB2312"/>
          <w:sz w:val="32"/>
          <w:szCs w:val="32"/>
          <w:lang w:eastAsia="zh-CN"/>
        </w:rPr>
        <w:t>街巷、传统建筑-水、传统建筑-传统街巷、传统建筑之间的互看景观视廊，</w:t>
      </w:r>
      <w:r>
        <w:rPr>
          <w:rFonts w:hint="eastAsia" w:ascii="仿宋_GB2312" w:hAnsi="仿宋_GB2312" w:eastAsia="仿宋_GB2312" w:cs="仿宋_GB2312"/>
          <w:sz w:val="32"/>
          <w:szCs w:val="32"/>
        </w:rPr>
        <w:t>维护核心保护范围内整体舒缓低矮的天际轮廓线。</w:t>
      </w:r>
    </w:p>
    <w:p>
      <w:pPr>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2．保护</w:t>
      </w:r>
      <w:r>
        <w:rPr>
          <w:rFonts w:hint="eastAsia" w:ascii="仿宋_GB2312" w:hAnsi="仿宋_GB2312" w:eastAsia="仿宋_GB2312" w:cs="仿宋_GB2312"/>
          <w:sz w:val="32"/>
          <w:szCs w:val="32"/>
          <w:lang w:val="en-US" w:eastAsia="zh-CN"/>
        </w:rPr>
        <w:t>街区传统院落肌理和传统风貌</w:t>
      </w:r>
      <w:r>
        <w:rPr>
          <w:rFonts w:hint="eastAsia" w:ascii="仿宋_GB2312" w:hAnsi="仿宋_GB2312" w:eastAsia="仿宋_GB2312" w:cs="仿宋_GB2312"/>
          <w:sz w:val="32"/>
          <w:szCs w:val="32"/>
        </w:rPr>
        <w:t>：维持现有院落规模，保护院落群体之间、院落与街巷之间的空间组合关系</w:t>
      </w:r>
      <w:r>
        <w:rPr>
          <w:rFonts w:hint="eastAsia" w:ascii="仿宋_GB2312" w:hAnsi="仿宋_GB2312" w:eastAsia="仿宋_GB2312" w:cs="仿宋_GB2312"/>
          <w:sz w:val="32"/>
          <w:szCs w:val="32"/>
          <w:lang w:eastAsia="zh-CN"/>
        </w:rPr>
        <w:t>；严格控制传统街巷沿线的建筑风貌、建筑高度及绿化等环境要素。</w:t>
      </w:r>
    </w:p>
    <w:p>
      <w:pPr>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3．保护珍贵的传统建筑：重点保护广东省文物保护单位</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处，市县级文物保护单位</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处，尚未核定公布为文物保护单位的登记不可移动文物</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处，历史建筑</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处，推荐历史建筑</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处。</w:t>
      </w:r>
    </w:p>
    <w:p>
      <w:pPr>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4．保护重要历史环境遗存：重点永昌庙段寨墙古遗址、永昌门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修路功德碑</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古树等历史环境遗存。</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5．保护地方性非物质历史文化遗产：重点保护锣鼓标旗巡游、灯谜（揭西方言灯谜）等非物质文化遗产，保护</w:t>
      </w:r>
      <w:r>
        <w:rPr>
          <w:rFonts w:hint="eastAsia" w:ascii="仿宋_GB2312" w:hAnsi="仿宋_GB2312" w:eastAsia="仿宋_GB2312" w:cs="仿宋_GB2312"/>
          <w:sz w:val="32"/>
          <w:szCs w:val="32"/>
          <w:lang w:val="en-US" w:eastAsia="zh-CN"/>
        </w:rPr>
        <w:t>传承湖东摆雅粿、湖东舞龙、正月十一“食春饼，插神竹”、七月半“施孤”等传统民俗和岁时节日，棉湖木雕、打铁、竹编等传统技艺，特色方言棉湖僻语，“洪心合”糖铺、“蔡合茂”糖铺等老字号，棉湖战役</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红色革命故事</w:t>
      </w:r>
      <w:r>
        <w:rPr>
          <w:rFonts w:hint="eastAsia" w:ascii="仿宋_GB2312" w:hAnsi="仿宋_GB2312" w:eastAsia="仿宋_GB2312" w:cs="仿宋_GB2312"/>
          <w:sz w:val="32"/>
          <w:szCs w:val="32"/>
        </w:rPr>
        <w:t>以及</w:t>
      </w:r>
      <w:r>
        <w:rPr>
          <w:rFonts w:hint="eastAsia" w:ascii="仿宋_GB2312" w:hAnsi="仿宋_GB2312" w:eastAsia="仿宋_GB2312" w:cs="仿宋_GB2312"/>
          <w:sz w:val="32"/>
          <w:szCs w:val="32"/>
          <w:lang w:val="en-US" w:eastAsia="zh-CN"/>
        </w:rPr>
        <w:t>林景拔、</w:t>
      </w:r>
      <w:r>
        <w:rPr>
          <w:rFonts w:hint="eastAsia" w:ascii="仿宋_GB2312" w:hAnsi="仿宋_GB2312" w:eastAsia="仿宋_GB2312" w:cs="仿宋_GB2312"/>
          <w:b w:val="0"/>
          <w:bCs w:val="0"/>
          <w:sz w:val="32"/>
          <w:szCs w:val="32"/>
          <w:lang w:val="en-US" w:eastAsia="zh-CN"/>
        </w:rPr>
        <w:t>郭来</w:t>
      </w:r>
      <w:r>
        <w:rPr>
          <w:rFonts w:hint="eastAsia" w:ascii="仿宋_GB2312" w:hAnsi="仿宋_GB2312" w:eastAsia="仿宋_GB2312" w:cs="仿宋_GB2312"/>
          <w:sz w:val="32"/>
          <w:szCs w:val="32"/>
        </w:rPr>
        <w:t>等名人事迹。</w:t>
      </w:r>
    </w:p>
    <w:p>
      <w:pPr>
        <w:spacing w:line="360" w:lineRule="auto"/>
        <w:ind w:firstLine="640" w:firstLineChars="200"/>
        <w:jc w:val="left"/>
        <w:rPr>
          <w:rFonts w:hint="eastAsia" w:ascii="仿宋_GB2312" w:hAnsi="仿宋_GB2312" w:eastAsia="仿宋_GB2312" w:cs="仿宋_GB2312"/>
          <w:sz w:val="32"/>
          <w:szCs w:val="32"/>
        </w:rPr>
      </w:pPr>
    </w:p>
    <w:p>
      <w:pPr>
        <w:pStyle w:val="2"/>
        <w:numPr>
          <w:ilvl w:val="0"/>
          <w:numId w:val="0"/>
        </w:numPr>
        <w:spacing w:beforeLines="0" w:afterLines="0" w:line="580" w:lineRule="exact"/>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四、历史文化街区</w:t>
      </w:r>
      <w:r>
        <w:rPr>
          <w:rFonts w:hint="eastAsia" w:ascii="黑体" w:hAnsi="黑体" w:eastAsia="黑体" w:cs="黑体"/>
          <w:b w:val="0"/>
          <w:bCs/>
          <w:sz w:val="32"/>
          <w:szCs w:val="32"/>
        </w:rPr>
        <w:t>保护范围</w:t>
      </w:r>
      <w:r>
        <w:rPr>
          <w:rFonts w:hint="eastAsia" w:ascii="黑体" w:hAnsi="黑体" w:eastAsia="黑体" w:cs="黑体"/>
          <w:b w:val="0"/>
          <w:bCs/>
          <w:sz w:val="32"/>
          <w:szCs w:val="32"/>
          <w:lang w:val="en-US" w:eastAsia="zh-CN"/>
        </w:rPr>
        <w:t>的保护</w:t>
      </w:r>
    </w:p>
    <w:p>
      <w:pPr>
        <w:pStyle w:val="3"/>
        <w:numPr>
          <w:ilvl w:val="-1"/>
          <w:numId w:val="0"/>
        </w:numPr>
        <w:spacing w:line="580" w:lineRule="exact"/>
        <w:ind w:left="643" w:firstLine="0" w:firstLineChars="0"/>
        <w:jc w:val="left"/>
        <w:rPr>
          <w:rFonts w:hint="default"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保护范围与等级</w:t>
      </w:r>
    </w:p>
    <w:p>
      <w:pPr>
        <w:spacing w:line="360" w:lineRule="auto"/>
        <w:ind w:firstLine="640" w:firstLineChars="200"/>
        <w:jc w:val="left"/>
        <w:rPr>
          <w:rFonts w:hint="eastAsia" w:ascii="宋体" w:hAnsi="宋体" w:eastAsia="仿宋_GB2312"/>
          <w:sz w:val="24"/>
          <w:szCs w:val="28"/>
          <w:lang w:val="en-US" w:eastAsia="zh-CN"/>
        </w:rPr>
      </w:pPr>
      <w:r>
        <w:rPr>
          <w:rFonts w:hint="default" w:ascii="仿宋_GB2312" w:hAnsi="仿宋_GB2312" w:eastAsia="仿宋_GB2312" w:cs="仿宋_GB2312"/>
          <w:color w:val="000000"/>
          <w:sz w:val="32"/>
          <w:szCs w:val="32"/>
          <w:lang w:val="en-US" w:eastAsia="zh-CN"/>
          <w14:ligatures w14:val="none"/>
        </w:rPr>
        <w:t>1、</w:t>
      </w:r>
      <w:r>
        <w:rPr>
          <w:rFonts w:hint="default" w:ascii="仿宋_GB2312" w:hAnsi="仿宋_GB2312" w:eastAsia="仿宋_GB2312" w:cs="仿宋_GB2312"/>
          <w:color w:val="000000"/>
          <w:sz w:val="32"/>
          <w:szCs w:val="32"/>
          <w14:ligatures w14:val="none"/>
        </w:rPr>
        <w:t>历史文化街区</w:t>
      </w:r>
      <w:r>
        <w:rPr>
          <w:rFonts w:hint="default" w:ascii="仿宋_GB2312" w:hAnsi="仿宋_GB2312" w:eastAsia="仿宋_GB2312" w:cs="仿宋_GB2312"/>
          <w:color w:val="000000"/>
          <w:sz w:val="32"/>
          <w:szCs w:val="32"/>
          <w:lang w:val="en-US" w:eastAsia="zh-CN"/>
          <w14:ligatures w14:val="none"/>
        </w:rPr>
        <w:t>保护范围：</w:t>
      </w:r>
      <w:r>
        <w:rPr>
          <w:rFonts w:hint="default" w:ascii="仿宋_GB2312" w:hAnsi="仿宋_GB2312" w:eastAsia="仿宋_GB2312" w:cs="仿宋_GB2312"/>
          <w:color w:val="000000"/>
          <w:sz w:val="32"/>
          <w:szCs w:val="32"/>
          <w14:ligatures w14:val="none"/>
        </w:rPr>
        <w:t>东至书院巷，西至糖水灶巷、北爷后巷和双福巷，北至郭氏大夫第后巷和李仔园巷内巷，南至云湖广场和湖滨东路以南约</w:t>
      </w:r>
      <w:r>
        <w:rPr>
          <w:rFonts w:ascii="仿宋_GB2312" w:hAnsi="仿宋_GB2312" w:eastAsia="仿宋_GB2312" w:cs="仿宋_GB2312"/>
          <w:color w:val="000000"/>
          <w:sz w:val="32"/>
          <w:szCs w:val="32"/>
          <w14:ligatures w14:val="none"/>
        </w:rPr>
        <w:t>400米范围，总面积为7.77公顷</w:t>
      </w:r>
      <w:r>
        <w:rPr>
          <w:rFonts w:hint="eastAsia" w:ascii="仿宋_GB2312" w:hAnsi="仿宋_GB2312" w:eastAsia="仿宋_GB2312" w:cs="仿宋_GB2312"/>
          <w:color w:val="000000"/>
          <w:sz w:val="32"/>
          <w:szCs w:val="32"/>
          <w:lang w:eastAsia="zh-CN"/>
          <w14:ligatures w14:val="none"/>
        </w:rPr>
        <w:t>。</w:t>
      </w:r>
    </w:p>
    <w:p>
      <w:pPr>
        <w:spacing w:line="360" w:lineRule="auto"/>
        <w:ind w:firstLine="640" w:firstLineChars="200"/>
        <w:jc w:val="left"/>
        <w:rPr>
          <w:rFonts w:ascii="仿宋_GB2312" w:hAnsi="仿宋_GB2312" w:eastAsia="仿宋_GB2312" w:cs="仿宋_GB2312"/>
          <w:color w:val="000000"/>
          <w:sz w:val="32"/>
          <w:szCs w:val="32"/>
          <w14:ligatures w14:val="none"/>
        </w:rPr>
      </w:pPr>
      <w:r>
        <w:rPr>
          <w:rFonts w:hint="default" w:ascii="仿宋_GB2312" w:hAnsi="仿宋_GB2312" w:eastAsia="仿宋_GB2312" w:cs="仿宋_GB2312"/>
          <w:color w:val="000000"/>
          <w:sz w:val="32"/>
          <w:szCs w:val="32"/>
          <w:lang w:val="en-US" w:eastAsia="zh-CN"/>
          <w14:ligatures w14:val="none"/>
        </w:rPr>
        <w:t>2、</w:t>
      </w:r>
      <w:r>
        <w:rPr>
          <w:rFonts w:hint="default" w:ascii="仿宋_GB2312" w:hAnsi="仿宋_GB2312" w:eastAsia="仿宋_GB2312" w:cs="仿宋_GB2312"/>
          <w:color w:val="000000"/>
          <w:sz w:val="32"/>
          <w:szCs w:val="32"/>
          <w14:ligatures w14:val="none"/>
        </w:rPr>
        <w:t>核心保护范围</w:t>
      </w:r>
      <w:r>
        <w:rPr>
          <w:rFonts w:hint="default" w:ascii="仿宋_GB2312" w:hAnsi="仿宋_GB2312" w:eastAsia="仿宋_GB2312" w:cs="仿宋_GB2312"/>
          <w:color w:val="000000"/>
          <w:sz w:val="32"/>
          <w:szCs w:val="32"/>
          <w:lang w:eastAsia="zh-CN"/>
          <w14:ligatures w14:val="none"/>
        </w:rPr>
        <w:t>：</w:t>
      </w:r>
      <w:r>
        <w:rPr>
          <w:rFonts w:hint="default" w:ascii="仿宋_GB2312" w:hAnsi="仿宋_GB2312" w:eastAsia="仿宋_GB2312" w:cs="仿宋_GB2312"/>
          <w:color w:val="000000"/>
          <w:sz w:val="32"/>
          <w:szCs w:val="32"/>
          <w14:ligatures w14:val="none"/>
        </w:rPr>
        <w:t>分为两片区域，南片区以郭氏大夫第、会元居、永昌古庙暨云湖庵、林景拔翰林第、棉湖战役东征军指挥部旧址（兴道书院）、二楼吴民居南侧部分建筑的外轮廓线和大楼前街巷围合而成，北片区两片分别以洪氏爱祖祠外轮廓线和城隍庙暨棉善古庵局部建筑外轮廓线围合而成，总面积为</w:t>
      </w:r>
      <w:r>
        <w:rPr>
          <w:rFonts w:ascii="仿宋_GB2312" w:hAnsi="仿宋_GB2312" w:eastAsia="仿宋_GB2312" w:cs="仿宋_GB2312"/>
          <w:color w:val="000000"/>
          <w:sz w:val="32"/>
          <w:szCs w:val="32"/>
          <w14:ligatures w14:val="none"/>
        </w:rPr>
        <w:t>1.25公顷。</w:t>
      </w:r>
    </w:p>
    <w:p>
      <w:pPr>
        <w:spacing w:line="360" w:lineRule="auto"/>
        <w:ind w:firstLine="640" w:firstLineChars="200"/>
        <w:jc w:val="left"/>
        <w:rPr>
          <w:rFonts w:hint="default" w:ascii="仿宋_GB2312" w:hAnsi="仿宋_GB2312" w:eastAsia="仿宋_GB2312" w:cs="仿宋_GB2312"/>
          <w:color w:val="000000"/>
          <w:sz w:val="32"/>
          <w:szCs w:val="32"/>
          <w14:ligatures w14:val="none"/>
        </w:rPr>
      </w:pPr>
      <w:r>
        <w:rPr>
          <w:rFonts w:hint="default" w:ascii="仿宋_GB2312" w:hAnsi="仿宋_GB2312" w:eastAsia="仿宋_GB2312" w:cs="仿宋_GB2312"/>
          <w:color w:val="000000"/>
          <w:sz w:val="32"/>
          <w:szCs w:val="32"/>
          <w:lang w:val="en-US" w:eastAsia="zh-CN"/>
          <w14:ligatures w14:val="none"/>
        </w:rPr>
        <w:t>3、</w:t>
      </w:r>
      <w:r>
        <w:rPr>
          <w:rFonts w:hint="default" w:ascii="仿宋_GB2312" w:hAnsi="仿宋_GB2312" w:eastAsia="仿宋_GB2312" w:cs="仿宋_GB2312"/>
          <w:color w:val="000000"/>
          <w:sz w:val="32"/>
          <w:szCs w:val="32"/>
          <w14:ligatures w14:val="none"/>
        </w:rPr>
        <w:t>建设控制地带</w:t>
      </w:r>
      <w:r>
        <w:rPr>
          <w:rFonts w:hint="default" w:ascii="仿宋_GB2312" w:hAnsi="仿宋_GB2312" w:eastAsia="仿宋_GB2312" w:cs="仿宋_GB2312"/>
          <w:color w:val="000000"/>
          <w:sz w:val="32"/>
          <w:szCs w:val="32"/>
          <w:lang w:eastAsia="zh-CN"/>
          <w14:ligatures w14:val="none"/>
        </w:rPr>
        <w:t>：</w:t>
      </w:r>
      <w:r>
        <w:rPr>
          <w:rFonts w:hint="default" w:ascii="仿宋_GB2312" w:hAnsi="仿宋_GB2312" w:eastAsia="仿宋_GB2312" w:cs="仿宋_GB2312"/>
          <w:color w:val="000000"/>
          <w:sz w:val="32"/>
          <w:szCs w:val="32"/>
          <w14:ligatures w14:val="none"/>
        </w:rPr>
        <w:t>四至与保护规划范围相同，为除去核心保护范围后的面积，面积为</w:t>
      </w:r>
      <w:r>
        <w:rPr>
          <w:rFonts w:ascii="仿宋_GB2312" w:hAnsi="仿宋_GB2312" w:eastAsia="仿宋_GB2312" w:cs="仿宋_GB2312"/>
          <w:color w:val="000000"/>
          <w:sz w:val="32"/>
          <w:szCs w:val="32"/>
          <w14:ligatures w14:val="none"/>
        </w:rPr>
        <w:t>6.52公顷</w:t>
      </w:r>
      <w:r>
        <w:rPr>
          <w:rFonts w:hint="default" w:ascii="仿宋_GB2312" w:hAnsi="仿宋_GB2312" w:eastAsia="仿宋_GB2312" w:cs="仿宋_GB2312"/>
          <w:color w:val="000000"/>
          <w:sz w:val="32"/>
          <w:szCs w:val="32"/>
          <w:lang w:eastAsia="zh-CN"/>
          <w14:ligatures w14:val="none"/>
        </w:rPr>
        <w:t>。</w:t>
      </w:r>
    </w:p>
    <w:p>
      <w:pPr>
        <w:pStyle w:val="3"/>
        <w:numPr>
          <w:ilvl w:val="-1"/>
          <w:numId w:val="0"/>
        </w:numPr>
        <w:spacing w:line="580" w:lineRule="exact"/>
        <w:ind w:left="643" w:firstLine="0" w:firstLineChars="0"/>
        <w:jc w:val="left"/>
        <w:rPr>
          <w:rFonts w:hint="default" w:ascii="楷体" w:hAnsi="楷体" w:eastAsia="楷体" w:cs="楷体"/>
          <w:b/>
          <w:bCs/>
          <w:sz w:val="32"/>
          <w:szCs w:val="32"/>
          <w:lang w:val="en-US"/>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保护控制要求</w:t>
      </w:r>
    </w:p>
    <w:p>
      <w:pPr>
        <w:spacing w:line="360" w:lineRule="auto"/>
        <w:ind w:firstLine="643" w:firstLineChars="2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1、总体要求</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（1）不得损害历史文化遗产的真实性和完整性。</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（2）保持传统空间尺度，分区管控新建、改建建筑的建筑高度。</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（3）对建筑物、构筑物，区分不同情况，采取相应措施，实行分类保护。</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因保持或者恢复传统格局、历史风貌的需要而新建、改建的建筑物，难以符合相关建设标准和规范的，在不突破原有建筑基底、建筑高度和建筑面积且不减少相邻居住建筑原有日照时间的前提下，可以办理规划许可手续。</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②新建、扩建建筑物和构筑物，应当在建筑体量、建筑高度、空间布局、色彩、材料等方面与本街区的历史风貌特征相协调。</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③历史文化街区内与历史风貌有冲突的建（构）筑物，应逐步拆除或整治改造。</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④拆除历史建筑以外的建筑物、构筑物或者其他设施的，拆除前应当将拆除方案报送至城市住房和城乡建设主管部门，并将其作为后继新建行为的规划许可前置条件。</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⑤历史文化街区内建筑物的使用，应根据居民的当代生活需要，改善内部设施，确保安全、合理利用。</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应当按照有关的技术标准和规范设置消防设施、消防通道、防洪排涝设施等。确因历史文化街区、名镇、名村的保护需要，无法按照标准和规范设置的，由城市人民政府消防救援机构、应急管理部门会同同级住房和城乡建设主管部门制订相应的安全保障方案。</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（5）历史文化街区内的标志牌、户外广告、招牌、空调室外机等设施不应破坏建筑外观和景观环境。</w:t>
      </w:r>
    </w:p>
    <w:p>
      <w:pPr>
        <w:spacing w:line="360" w:lineRule="auto"/>
        <w:ind w:firstLine="643" w:firstLineChars="200"/>
        <w:jc w:val="left"/>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2、</w:t>
      </w:r>
      <w:r>
        <w:rPr>
          <w:rFonts w:ascii="仿宋_GB2312" w:hAnsi="仿宋_GB2312" w:eastAsia="仿宋_GB2312" w:cs="仿宋_GB2312"/>
          <w:b/>
          <w:bCs/>
          <w:sz w:val="32"/>
          <w:szCs w:val="32"/>
        </w:rPr>
        <w:t>历史文化街区核心保护范围</w:t>
      </w:r>
      <w:r>
        <w:rPr>
          <w:rFonts w:hint="default" w:ascii="仿宋_GB2312" w:hAnsi="仿宋_GB2312" w:eastAsia="仿宋_GB2312" w:cs="仿宋_GB2312"/>
          <w:b/>
          <w:bCs/>
          <w:sz w:val="32"/>
          <w:szCs w:val="32"/>
          <w:lang w:val="en-US" w:eastAsia="zh-CN"/>
        </w:rPr>
        <w:t>内的管控要求</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（1）保持传统格局、历史风貌和空间尺度，不得改变与其相互依存的自然景观和环境。</w:t>
      </w:r>
    </w:p>
    <w:p>
      <w:pPr>
        <w:spacing w:line="360" w:lineRule="auto"/>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（2）除必要的基础设施、公共服务设施及恢复性建设外，不得进行新建、扩建活动。从事建设活动，城乡规划主管部门依法核发选址意见书、提出规划条件或核 定规划要求前，应当征求同级住房和城乡建设主管部门和的意见。</w:t>
      </w:r>
    </w:p>
    <w:p>
      <w:pPr>
        <w:spacing w:line="360" w:lineRule="auto"/>
        <w:ind w:firstLine="643" w:firstLineChars="200"/>
        <w:jc w:val="left"/>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3、</w:t>
      </w:r>
      <w:r>
        <w:rPr>
          <w:rFonts w:ascii="仿宋_GB2312" w:hAnsi="仿宋_GB2312" w:eastAsia="仿宋_GB2312" w:cs="仿宋_GB2312"/>
          <w:b/>
          <w:bCs/>
          <w:sz w:val="32"/>
          <w:szCs w:val="32"/>
        </w:rPr>
        <w:t>历史文化街区建设控制地带</w:t>
      </w:r>
      <w:r>
        <w:rPr>
          <w:rFonts w:hint="default" w:ascii="仿宋_GB2312" w:hAnsi="仿宋_GB2312" w:eastAsia="仿宋_GB2312" w:cs="仿宋_GB2312"/>
          <w:b/>
          <w:bCs/>
          <w:sz w:val="32"/>
          <w:szCs w:val="32"/>
          <w:lang w:val="en-US" w:eastAsia="zh-CN"/>
        </w:rPr>
        <w:t>内的管控要求</w:t>
      </w:r>
    </w:p>
    <w:p>
      <w:pPr>
        <w:spacing w:line="360" w:lineRule="auto"/>
        <w:ind w:firstLine="640" w:firstLineChars="200"/>
        <w:jc w:val="left"/>
        <w:rPr>
          <w:rFonts w:ascii="仿宋_GB2312" w:hAnsi="仿宋_GB2312" w:eastAsia="仿宋_GB2312" w:cs="仿宋_GB2312"/>
          <w:sz w:val="32"/>
          <w:szCs w:val="32"/>
        </w:rPr>
      </w:pPr>
      <w:r>
        <w:rPr>
          <w:rFonts w:hint="default" w:ascii="仿宋_GB2312" w:hAnsi="仿宋_GB2312" w:eastAsia="仿宋_GB2312" w:cs="仿宋_GB2312"/>
          <w:sz w:val="32"/>
          <w:szCs w:val="32"/>
        </w:rPr>
        <w:t>（1）</w:t>
      </w:r>
      <w:r>
        <w:rPr>
          <w:rFonts w:ascii="仿宋_GB2312" w:hAnsi="仿宋_GB2312" w:eastAsia="仿宋_GB2312" w:cs="仿宋_GB2312"/>
          <w:sz w:val="32"/>
          <w:szCs w:val="32"/>
        </w:rPr>
        <w:t>各类建设活动不得对传统格局和历史风貌构成破坏性影响。</w:t>
      </w:r>
    </w:p>
    <w:p>
      <w:pPr>
        <w:spacing w:line="360" w:lineRule="auto"/>
        <w:ind w:firstLine="640" w:firstLineChars="200"/>
        <w:jc w:val="lef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rPr>
        <w:t>（2）</w:t>
      </w:r>
      <w:r>
        <w:rPr>
          <w:rFonts w:ascii="仿宋_GB2312" w:hAnsi="仿宋_GB2312" w:eastAsia="仿宋_GB2312" w:cs="仿宋_GB2312"/>
          <w:sz w:val="32"/>
          <w:szCs w:val="32"/>
        </w:rPr>
        <w:t>周边道路建设不得破坏本街区的整体风貌特征。</w:t>
      </w:r>
    </w:p>
    <w:p>
      <w:pPr>
        <w:spacing w:line="360" w:lineRule="auto"/>
        <w:ind w:firstLine="643" w:firstLineChars="200"/>
        <w:jc w:val="left"/>
        <w:rPr>
          <w:rFonts w:ascii="仿宋_GB2312" w:hAnsi="仿宋_GB2312" w:eastAsia="仿宋_GB2312" w:cs="仿宋_GB2312"/>
          <w:b/>
          <w:bCs/>
          <w:sz w:val="32"/>
          <w:szCs w:val="32"/>
        </w:rPr>
      </w:pPr>
      <w:r>
        <w:rPr>
          <w:rFonts w:hint="default" w:ascii="仿宋_GB2312" w:hAnsi="仿宋_GB2312" w:eastAsia="仿宋_GB2312" w:cs="仿宋_GB2312"/>
          <w:b/>
          <w:bCs/>
          <w:sz w:val="32"/>
          <w:szCs w:val="32"/>
          <w:lang w:val="en-US" w:eastAsia="zh-CN"/>
        </w:rPr>
        <w:t>4、</w:t>
      </w:r>
      <w:r>
        <w:rPr>
          <w:rFonts w:ascii="仿宋_GB2312" w:hAnsi="仿宋_GB2312" w:eastAsia="仿宋_GB2312" w:cs="仿宋_GB2312"/>
          <w:b/>
          <w:bCs/>
          <w:sz w:val="32"/>
          <w:szCs w:val="32"/>
        </w:rPr>
        <w:t>当保护区划重叠时，保护控制应从严管控</w:t>
      </w:r>
    </w:p>
    <w:p>
      <w:pPr>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南门里历史文化街区</w:t>
      </w:r>
      <w:r>
        <w:rPr>
          <w:rFonts w:ascii="仿宋_GB2312" w:hAnsi="仿宋_GB2312" w:eastAsia="仿宋_GB2312" w:cs="仿宋_GB2312"/>
          <w:sz w:val="32"/>
          <w:szCs w:val="32"/>
        </w:rPr>
        <w:t>与相关文物保护单位、历史建筑等保护区划保护控制要求严格程度从严至宽分别为：文物保护单位本体、文物保护单位保护范围、历史建筑保护范围、历史文化街区核心保护范围、文物保护单位建设控制地带、历史文化街区建设控制地带。</w:t>
      </w:r>
    </w:p>
    <w:p>
      <w:pPr>
        <w:spacing w:line="240" w:lineRule="auto"/>
        <w:ind w:firstLine="0" w:firstLineChars="0"/>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widowControl/>
        <w:spacing w:line="240" w:lineRule="auto"/>
        <w:ind w:firstLine="0" w:firstLineChars="0"/>
        <w:jc w:val="center"/>
        <w:rPr>
          <w:rFonts w:hint="eastAsia" w:ascii="黑体" w:hAnsi="黑体" w:eastAsia="黑体" w:cs="黑体"/>
          <w:sz w:val="28"/>
          <w:szCs w:val="28"/>
        </w:rPr>
      </w:pPr>
      <w:r>
        <w:rPr>
          <w:rFonts w:hint="eastAsia" w:ascii="黑体" w:hAnsi="黑体" w:eastAsia="黑体" w:cs="黑体"/>
          <w:sz w:val="28"/>
          <w:szCs w:val="28"/>
        </w:rPr>
        <w:t>附图</w:t>
      </w:r>
      <w:r>
        <w:rPr>
          <w:rFonts w:hint="eastAsia" w:ascii="黑体" w:hAnsi="黑体" w:eastAsia="黑体" w:cs="黑体"/>
          <w:sz w:val="28"/>
          <w:szCs w:val="28"/>
          <w:lang w:val="en-US" w:eastAsia="zh-CN"/>
        </w:rPr>
        <w:t>1</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南门里历史文化街区</w:t>
      </w:r>
      <w:r>
        <w:rPr>
          <w:rFonts w:hint="eastAsia" w:ascii="黑体" w:hAnsi="黑体" w:eastAsia="黑体" w:cs="黑体"/>
          <w:sz w:val="28"/>
          <w:szCs w:val="28"/>
        </w:rPr>
        <w:t>保护范围划定图</w:t>
      </w:r>
    </w:p>
    <w:p>
      <w:pPr>
        <w:spacing w:line="360" w:lineRule="auto"/>
        <w:jc w:val="left"/>
        <w:rPr>
          <w:rFonts w:ascii="宋体" w:hAnsi="宋体" w:eastAsia="宋体"/>
          <w:sz w:val="28"/>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1347470</wp:posOffset>
                </wp:positionH>
                <wp:positionV relativeFrom="paragraph">
                  <wp:posOffset>7071995</wp:posOffset>
                </wp:positionV>
                <wp:extent cx="134620" cy="105410"/>
                <wp:effectExtent l="6350" t="6350" r="11430" b="10160"/>
                <wp:wrapNone/>
                <wp:docPr id="2" name="矩形 2"/>
                <wp:cNvGraphicFramePr/>
                <a:graphic xmlns:a="http://schemas.openxmlformats.org/drawingml/2006/main">
                  <a:graphicData uri="http://schemas.microsoft.com/office/word/2010/wordprocessingShape">
                    <wps:wsp>
                      <wps:cNvSpPr/>
                      <wps:spPr>
                        <a:xfrm>
                          <a:off x="2247900" y="8368665"/>
                          <a:ext cx="134620" cy="10541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1pt;margin-top:556.85pt;height:8.3pt;width:10.6pt;z-index:251659264;v-text-anchor:middle;mso-width-relative:page;mso-height-relative:page;" fillcolor="#FFFFFF [3212]" filled="t" stroked="f" coordsize="21600,21600" o:gfxdata="UEsDBAoAAAAAAIdO4kAAAAAAAAAAAAAAAAAEAAAAZHJzL1BLAwQUAAAACACHTuJAbBS37NoAAAAN&#10;AQAADwAAAGRycy9kb3ducmV2LnhtbE2PPU/DMBCGdyT+g3VIbNRfQFGI06ESQwYkaDswuvGRhMR2&#10;FDsf/fe4E4x376P3nst3q+3JjGNovVPANwwIusqb1tUKTse3hxcgIWpndO8dKrhggF1xe5PrzPjF&#10;feJ8iDVJJS5kWkET45BRGqoGrQ4bP6BL2bcfrY5pHGtqRr2kcttTwdgztbp16UKjB9w3WHWHySro&#10;ytJO61M1lx/v2x85Lpfu+LVX6v6Os1cgEdf4B8NVP6lDkZzOfnImkF6B4EIkNAWcyy2QhAgpH4Gc&#10;ryvJJNAip/+/KH4BUEsDBBQAAAAIAIdO4kBiUprrdgIAANYEAAAOAAAAZHJzL2Uyb0RvYy54bWyt&#10;VEtu2zAQ3RfoHQjuG1mO4yRG5MCI4aJA0ARIi65pirII8FeStpxepkB3PUSPU/QafaSUOE27yKJa&#10;UEPN6L2ZxxleXO61Ijvhg7SmouXRiBJhuK2l2VT044fVmzNKQmSmZsoaUdF7Eejl/PWri87NxNi2&#10;VtXCE4CYMOtcRdsY3awoAm+FZuHIOmHgbKzXLGLrN0XtWQd0rYrxaDQtOutr5y0XIeDrsnfSAdG/&#10;BNA2jeRiaflWCxN7VC8UiygptNIFOs/ZNo3g8aZpgohEVRSVxryCBPY6rcX8gs02nrlW8iEF9pIU&#10;ntWkmTQgfYRassjI1su/oLTk3gbbxCNuddEXkhVBFeXomTZ3LXMi1wKpg3sUPfw/WP5+d+uJrCs6&#10;psQwjQP/9fX7zx/fyDhp07kwQ8idu/XDLsBMhe4br9MbJZA9/h5PTs9HUPW+omfH07Pp9KTXVuwj&#10;4QgojyfTMfwcAeXoZFJm7YsDkPMhvhVWk2RU1OPosqJsdx0iyBH6EJJ4g1WyXkml8sZv1lfKkx3D&#10;Ma/yk9jxyx9hypAO7OPTlChnaN4GTQNTOwgQzIYSpjaYCh595jY2MQCp516y0PYcGbYvUMuIeVBS&#10;o/BRegZmZZBA0q9XLFlrW99DbW/7NgyOrySKvWYh3jKPvkNamMx4g6VRFrnawaKktf7Lv76neLQD&#10;vJR06GPU8XnLvKBEvTNolPNyMgFszJvJyWk6A//Us37qMVt9ZaFhiTvA8Wym+KgezMZb/QkDvEis&#10;cDHDwd0rNmyuYj9fuAK4WCxyGJrdsXht7hxP4ElQYxfbaBuZz/agziAa2j2f3zCaaZ6e7nPU4Tqa&#10;/w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sFLfs2gAAAA0BAAAPAAAAAAAAAAEAIAAAACIAAABk&#10;cnMvZG93bnJldi54bWxQSwECFAAUAAAACACHTuJAYlKa63YCAADWBAAADgAAAAAAAAABACAAAAAp&#10;AQAAZHJzL2Uyb0RvYy54bWxQSwUGAAAAAAYABgBZAQAAEQYAAAAA&#10;">
                <v:fill on="t" focussize="0,0"/>
                <v:stroke on="f" weight="1pt" miterlimit="8" joinstyle="miter"/>
                <v:imagedata o:title=""/>
                <o:lock v:ext="edit" aspectratio="f"/>
              </v:rect>
            </w:pict>
          </mc:Fallback>
        </mc:AlternateContent>
      </w:r>
      <w:r>
        <w:rPr>
          <w:rFonts w:hint="eastAsia" w:ascii="仿宋_GB2312" w:hAnsi="仿宋_GB2312" w:eastAsia="仿宋_GB2312" w:cs="仿宋_GB2312"/>
          <w:sz w:val="32"/>
          <w:szCs w:val="32"/>
          <w:lang w:eastAsia="zh-CN"/>
        </w:rPr>
        <w:drawing>
          <wp:inline distT="0" distB="0" distL="114300" distR="114300">
            <wp:extent cx="5939790" cy="8399145"/>
            <wp:effectExtent l="0" t="0" r="3810" b="13335"/>
            <wp:docPr id="1" name="图片 1" descr="03 保护范围划定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3 保护范围划定图"/>
                    <pic:cNvPicPr>
                      <a:picLocks noChangeAspect="1"/>
                    </pic:cNvPicPr>
                  </pic:nvPicPr>
                  <pic:blipFill>
                    <a:blip r:embed="rId4"/>
                    <a:stretch>
                      <a:fillRect/>
                    </a:stretch>
                  </pic:blipFill>
                  <pic:spPr>
                    <a:xfrm>
                      <a:off x="0" y="0"/>
                      <a:ext cx="5939790" cy="8399145"/>
                    </a:xfrm>
                    <a:prstGeom prst="rect">
                      <a:avLst/>
                    </a:prstGeom>
                  </pic:spPr>
                </pic:pic>
              </a:graphicData>
            </a:graphic>
          </wp:inline>
        </w:drawing>
      </w:r>
      <w:bookmarkEnd w:id="0"/>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38E90E"/>
    <w:multiLevelType w:val="multilevel"/>
    <w:tmpl w:val="E438E90E"/>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BlMTE2NWE2MDdjYWZkYWE5ZGQ0NGZlZThkYTdiMDMifQ=="/>
  </w:docVars>
  <w:rsids>
    <w:rsidRoot w:val="008E10AE"/>
    <w:rsid w:val="00015F2C"/>
    <w:rsid w:val="000D06E4"/>
    <w:rsid w:val="000F4311"/>
    <w:rsid w:val="00157AEF"/>
    <w:rsid w:val="001F2DCE"/>
    <w:rsid w:val="001F7795"/>
    <w:rsid w:val="00222FCE"/>
    <w:rsid w:val="00231827"/>
    <w:rsid w:val="00235ADA"/>
    <w:rsid w:val="002A7515"/>
    <w:rsid w:val="003300C0"/>
    <w:rsid w:val="00434E9E"/>
    <w:rsid w:val="004F3929"/>
    <w:rsid w:val="00547BAB"/>
    <w:rsid w:val="005831F7"/>
    <w:rsid w:val="00590B56"/>
    <w:rsid w:val="00695D93"/>
    <w:rsid w:val="006C3460"/>
    <w:rsid w:val="0075293A"/>
    <w:rsid w:val="007E5177"/>
    <w:rsid w:val="008A4FF5"/>
    <w:rsid w:val="008E10AE"/>
    <w:rsid w:val="008E60EC"/>
    <w:rsid w:val="009B35C3"/>
    <w:rsid w:val="009D317D"/>
    <w:rsid w:val="00A93212"/>
    <w:rsid w:val="00B53150"/>
    <w:rsid w:val="00B574FF"/>
    <w:rsid w:val="00BA5B01"/>
    <w:rsid w:val="00BE36BC"/>
    <w:rsid w:val="00C370C6"/>
    <w:rsid w:val="00C62A34"/>
    <w:rsid w:val="00C87A71"/>
    <w:rsid w:val="00CD1D01"/>
    <w:rsid w:val="00D65F54"/>
    <w:rsid w:val="00D91533"/>
    <w:rsid w:val="00D97606"/>
    <w:rsid w:val="00E044FA"/>
    <w:rsid w:val="00E758D0"/>
    <w:rsid w:val="00E84E0F"/>
    <w:rsid w:val="00EB3786"/>
    <w:rsid w:val="00EB50E8"/>
    <w:rsid w:val="00EC152E"/>
    <w:rsid w:val="00FA7558"/>
    <w:rsid w:val="00FC115E"/>
    <w:rsid w:val="00FF729F"/>
    <w:rsid w:val="062614FA"/>
    <w:rsid w:val="0CDE48EC"/>
    <w:rsid w:val="0D3F362C"/>
    <w:rsid w:val="2F660301"/>
    <w:rsid w:val="3B4D0816"/>
    <w:rsid w:val="3CE10EBD"/>
    <w:rsid w:val="553D6392"/>
    <w:rsid w:val="649B069F"/>
    <w:rsid w:val="6823145C"/>
    <w:rsid w:val="71645DAB"/>
    <w:rsid w:val="74897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qFormat/>
    <w:uiPriority w:val="0"/>
    <w:pPr>
      <w:keepNext/>
      <w:keepLines/>
      <w:numPr>
        <w:ilvl w:val="0"/>
        <w:numId w:val="1"/>
      </w:numPr>
      <w:spacing w:before="50" w:beforeLines="50" w:beforeAutospacing="0" w:after="50" w:afterLines="50" w:afterAutospacing="0" w:line="360" w:lineRule="auto"/>
      <w:ind w:firstLineChars="0"/>
      <w:outlineLvl w:val="0"/>
    </w:pPr>
    <w:rPr>
      <w:rFonts w:ascii="宋体" w:hAnsi="宋体" w:eastAsia="宋体" w:cs="宋体"/>
      <w:b/>
      <w:color w:val="000000"/>
      <w:kern w:val="44"/>
      <w:sz w:val="28"/>
    </w:rPr>
  </w:style>
  <w:style w:type="paragraph" w:styleId="3">
    <w:name w:val="heading 2"/>
    <w:basedOn w:val="1"/>
    <w:next w:val="1"/>
    <w:qFormat/>
    <w:uiPriority w:val="0"/>
    <w:pPr>
      <w:keepNext/>
      <w:keepLines/>
      <w:numPr>
        <w:ilvl w:val="1"/>
        <w:numId w:val="1"/>
      </w:numPr>
      <w:tabs>
        <w:tab w:val="left" w:pos="420"/>
      </w:tabs>
      <w:ind w:left="575" w:hanging="575" w:firstLineChars="0"/>
      <w:outlineLvl w:val="1"/>
    </w:pPr>
    <w:rPr>
      <w:rFonts w:ascii="Calibri Light" w:hAnsi="Calibri Light" w:cs="Times New Roman"/>
      <w:b/>
      <w:bCs/>
      <w:color w:val="000000"/>
      <w:sz w:val="24"/>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caption"/>
    <w:basedOn w:val="1"/>
    <w:next w:val="1"/>
    <w:qFormat/>
    <w:uiPriority w:val="0"/>
    <w:pPr>
      <w:jc w:val="center"/>
    </w:pPr>
    <w:rPr>
      <w:rFonts w:ascii="Arial" w:hAnsi="Arial" w:eastAsia="黑体"/>
      <w:sz w:val="20"/>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tabs>
        <w:tab w:val="center" w:pos="4153"/>
        <w:tab w:val="right" w:pos="8306"/>
      </w:tabs>
      <w:snapToGrid w:val="0"/>
      <w:jc w:val="center"/>
    </w:pPr>
    <w:rPr>
      <w:sz w:val="18"/>
      <w:szCs w:val="18"/>
    </w:rPr>
  </w:style>
  <w:style w:type="paragraph" w:styleId="7">
    <w:name w:val="Normal (Web)"/>
    <w:basedOn w:val="1"/>
    <w:semiHidden/>
    <w:unhideWhenUsed/>
    <w:qFormat/>
    <w:uiPriority w:val="99"/>
    <w:pPr>
      <w:keepNext w:val="0"/>
      <w:keepLines w:val="0"/>
      <w:widowControl/>
      <w:suppressLineNumbers w:val="0"/>
      <w:spacing w:before="0" w:beforeAutospacing="1" w:after="0" w:afterAutospacing="1" w:line="240" w:lineRule="auto"/>
      <w:ind w:left="0" w:right="0" w:firstLine="0" w:firstLineChars="0"/>
      <w:jc w:val="left"/>
    </w:pPr>
    <w:rPr>
      <w:rFonts w:hint="eastAsia" w:ascii="宋体" w:hAnsi="宋体" w:eastAsia="宋体" w:cs="宋体"/>
      <w:color w:val="000000"/>
      <w:kern w:val="0"/>
      <w:sz w:val="21"/>
      <w:szCs w:val="24"/>
      <w:lang w:val="en-US" w:eastAsia="zh-CN" w:bidi="ar"/>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semiHidden/>
    <w:unhideWhenUsed/>
    <w:qFormat/>
    <w:uiPriority w:val="99"/>
    <w:rPr>
      <w:color w:val="0000FF"/>
      <w:u w:val="single"/>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styleId="14">
    <w:name w:val="List Paragraph"/>
    <w:basedOn w:val="1"/>
    <w:qFormat/>
    <w:uiPriority w:val="99"/>
    <w:pPr>
      <w:ind w:firstLine="420" w:firstLineChars="200"/>
    </w:pPr>
    <w:rPr>
      <w:rFonts w:ascii="仿宋" w:hAnsi="仿宋" w:eastAsia="仿宋" w:cs="仿宋"/>
      <w:sz w:val="30"/>
      <w:szCs w:val="30"/>
      <w14:ligatures w14:val="none"/>
    </w:rPr>
  </w:style>
  <w:style w:type="paragraph" w:customStyle="1" w:styleId="15">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16">
    <w:name w:val="HJD-表内"/>
    <w:basedOn w:val="1"/>
    <w:link w:val="17"/>
    <w:qFormat/>
    <w:uiPriority w:val="0"/>
    <w:pPr>
      <w:keepNext w:val="0"/>
      <w:keepLines w:val="0"/>
      <w:widowControl/>
      <w:suppressLineNumbers w:val="0"/>
      <w:spacing w:before="0" w:beforeAutospacing="0" w:after="0" w:afterAutospacing="0" w:line="240" w:lineRule="auto"/>
      <w:ind w:left="0" w:right="0" w:firstLine="0" w:firstLineChars="0"/>
      <w:jc w:val="center"/>
    </w:pPr>
    <w:rPr>
      <w:rFonts w:hint="default" w:ascii="Times New Roman" w:hAnsi="Times New Roman" w:eastAsia="楷体" w:cs="宋体"/>
      <w:bCs/>
      <w:color w:val="000000"/>
      <w:kern w:val="0"/>
      <w:sz w:val="18"/>
      <w:szCs w:val="18"/>
      <w:lang w:val="en-US" w:eastAsia="zh-CN" w:bidi="ar"/>
    </w:rPr>
  </w:style>
  <w:style w:type="character" w:customStyle="1" w:styleId="17">
    <w:name w:val="HJD-表内 字符"/>
    <w:basedOn w:val="10"/>
    <w:link w:val="16"/>
    <w:qFormat/>
    <w:uiPriority w:val="0"/>
    <w:rPr>
      <w:rFonts w:hint="default" w:ascii="Times New Roman" w:hAnsi="Times New Roman" w:eastAsia="楷体" w:cs="宋体"/>
      <w:bCs/>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10583E-FE9A-4A5B-8238-08E37D1C9C03}">
  <ds:schemaRefs/>
</ds:datastoreItem>
</file>

<file path=docProps/app.xml><?xml version="1.0" encoding="utf-8"?>
<Properties xmlns="http://schemas.openxmlformats.org/officeDocument/2006/extended-properties" xmlns:vt="http://schemas.openxmlformats.org/officeDocument/2006/docPropsVTypes">
  <Template>Normal</Template>
  <Pages>6</Pages>
  <Words>580</Words>
  <Characters>3310</Characters>
  <Lines>27</Lines>
  <Paragraphs>7</Paragraphs>
  <TotalTime>26</TotalTime>
  <ScaleCrop>false</ScaleCrop>
  <LinksUpToDate>false</LinksUpToDate>
  <CharactersWithSpaces>3883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2023-10-13T03:44:00Z</dcterms:created>
  <dc:creator>admin</dc:creator>
  <cp:lastModifiedBy>lenovo</cp:lastModifiedBy>
  <cp:lastPrinted>2023-10-25T02:27:00Z</cp:lastPrinted>
  <dcterms:modified xsi:type="dcterms:W3CDTF">2023-10-25T03:24:40Z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DB7573CE03A446B79B355AD9760FA8C9_12</vt:lpwstr>
  </property>
</Properties>
</file>